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731C64" w:rsidP="00194AA6">
      <w:pPr>
        <w:jc w:val="center"/>
      </w:pPr>
      <w:r>
        <w:rPr>
          <w:noProof/>
        </w:rPr>
        <w:drawing>
          <wp:inline distT="0" distB="0" distL="0" distR="0">
            <wp:extent cx="1715135" cy="112776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15135" cy="112776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A9414E" w:rsidRDefault="00193F10" w:rsidP="00194AA6">
      <w:pPr>
        <w:pStyle w:val="Heading3"/>
        <w:rPr>
          <w:rFonts w:ascii="Book Antiqua" w:hAnsi="Book Antiqua"/>
          <w:b/>
          <w:sz w:val="22"/>
          <w:szCs w:val="22"/>
        </w:rPr>
      </w:pPr>
      <w:r w:rsidRPr="00A9414E">
        <w:rPr>
          <w:rFonts w:ascii="Book Antiqua" w:hAnsi="Book Antiqua"/>
          <w:b/>
          <w:sz w:val="22"/>
          <w:szCs w:val="22"/>
        </w:rPr>
        <w:t>TECHNICAL EVALUATION</w:t>
      </w:r>
    </w:p>
    <w:p w:rsidR="00193F10" w:rsidRPr="00A9414E" w:rsidRDefault="00193F10" w:rsidP="00194AA6">
      <w:pPr>
        <w:jc w:val="center"/>
        <w:rPr>
          <w:rFonts w:ascii="Book Antiqua" w:hAnsi="Book Antiqua"/>
          <w:b/>
          <w:sz w:val="22"/>
          <w:szCs w:val="22"/>
        </w:rPr>
      </w:pPr>
      <w:r w:rsidRPr="00A9414E">
        <w:rPr>
          <w:rFonts w:ascii="Book Antiqua" w:hAnsi="Book Antiqua"/>
          <w:b/>
          <w:sz w:val="22"/>
          <w:szCs w:val="22"/>
        </w:rPr>
        <w:t>&amp;</w:t>
      </w:r>
    </w:p>
    <w:p w:rsidR="00193F10" w:rsidRPr="00A9414E" w:rsidRDefault="00193F10" w:rsidP="00194AA6">
      <w:pPr>
        <w:jc w:val="center"/>
        <w:rPr>
          <w:rFonts w:ascii="Book Antiqua" w:hAnsi="Book Antiqua"/>
          <w:b/>
          <w:sz w:val="22"/>
          <w:szCs w:val="22"/>
        </w:rPr>
      </w:pPr>
      <w:r w:rsidRPr="00A9414E">
        <w:rPr>
          <w:rFonts w:ascii="Book Antiqua" w:hAnsi="Book Antiqua"/>
          <w:b/>
          <w:sz w:val="22"/>
          <w:szCs w:val="22"/>
        </w:rPr>
        <w:t>PRELIMINARY DETERMINATION</w:t>
      </w:r>
    </w:p>
    <w:p w:rsidR="00193F10" w:rsidRPr="00A9414E" w:rsidRDefault="00193F10" w:rsidP="00194AA6">
      <w:pPr>
        <w:jc w:val="center"/>
        <w:rPr>
          <w:rFonts w:ascii="Book Antiqua" w:hAnsi="Book Antiqua"/>
          <w:sz w:val="22"/>
          <w:szCs w:val="22"/>
        </w:rPr>
      </w:pPr>
    </w:p>
    <w:p w:rsidR="00193F10" w:rsidRPr="00A9414E" w:rsidRDefault="00193F10" w:rsidP="00194AA6">
      <w:pPr>
        <w:jc w:val="center"/>
        <w:rPr>
          <w:rFonts w:ascii="Book Antiqua" w:hAnsi="Book Antiqua"/>
          <w:sz w:val="22"/>
          <w:szCs w:val="22"/>
        </w:rPr>
      </w:pPr>
    </w:p>
    <w:p w:rsidR="00193F10" w:rsidRPr="00A9414E" w:rsidRDefault="00193F10" w:rsidP="00194AA6">
      <w:pPr>
        <w:jc w:val="center"/>
        <w:rPr>
          <w:rFonts w:ascii="Book Antiqua" w:hAnsi="Book Antiqua"/>
          <w:sz w:val="22"/>
          <w:szCs w:val="22"/>
        </w:rPr>
      </w:pPr>
    </w:p>
    <w:p w:rsidR="00194AA6" w:rsidRPr="00A9414E" w:rsidRDefault="00194AA6" w:rsidP="00194AA6">
      <w:pPr>
        <w:pStyle w:val="Heading4"/>
        <w:spacing w:after="120"/>
        <w:rPr>
          <w:rFonts w:ascii="Book Antiqua" w:hAnsi="Book Antiqua"/>
          <w:bCs/>
          <w:szCs w:val="22"/>
        </w:rPr>
      </w:pPr>
      <w:r w:rsidRPr="00A9414E">
        <w:rPr>
          <w:rFonts w:ascii="Book Antiqua" w:hAnsi="Book Antiqua"/>
          <w:bCs/>
          <w:szCs w:val="22"/>
        </w:rPr>
        <w:t>APPLICANT</w:t>
      </w:r>
    </w:p>
    <w:p w:rsidR="00194AA6" w:rsidRPr="00A9414E" w:rsidRDefault="00DB7279" w:rsidP="00194AA6">
      <w:pPr>
        <w:widowControl w:val="0"/>
        <w:jc w:val="center"/>
        <w:rPr>
          <w:rFonts w:ascii="Book Antiqua" w:hAnsi="Book Antiqua"/>
          <w:sz w:val="22"/>
          <w:szCs w:val="22"/>
        </w:rPr>
      </w:pPr>
      <w:r>
        <w:rPr>
          <w:rFonts w:ascii="Book Antiqua" w:hAnsi="Book Antiqua"/>
          <w:sz w:val="22"/>
          <w:szCs w:val="22"/>
        </w:rPr>
        <w:t>Florida Rock Industries, Inc.</w:t>
      </w:r>
    </w:p>
    <w:p w:rsidR="00194AA6" w:rsidRPr="00A9414E" w:rsidRDefault="00DB7279" w:rsidP="00194AA6">
      <w:pPr>
        <w:widowControl w:val="0"/>
        <w:jc w:val="center"/>
        <w:rPr>
          <w:rFonts w:ascii="Book Antiqua" w:hAnsi="Book Antiqua"/>
          <w:sz w:val="22"/>
          <w:szCs w:val="22"/>
        </w:rPr>
      </w:pPr>
      <w:r>
        <w:rPr>
          <w:rFonts w:ascii="Book Antiqua" w:hAnsi="Book Antiqua"/>
          <w:sz w:val="22"/>
          <w:szCs w:val="22"/>
        </w:rPr>
        <w:t>4000 NW County Road 235</w:t>
      </w:r>
    </w:p>
    <w:p w:rsidR="00194AA6" w:rsidRPr="00A9414E" w:rsidRDefault="00DB7279" w:rsidP="00194AA6">
      <w:pPr>
        <w:widowControl w:val="0"/>
        <w:jc w:val="center"/>
        <w:rPr>
          <w:rFonts w:ascii="Book Antiqua" w:hAnsi="Book Antiqua"/>
          <w:sz w:val="22"/>
          <w:szCs w:val="22"/>
        </w:rPr>
      </w:pPr>
      <w:r>
        <w:rPr>
          <w:rFonts w:ascii="Book Antiqua" w:hAnsi="Book Antiqua"/>
          <w:sz w:val="22"/>
          <w:szCs w:val="22"/>
        </w:rPr>
        <w:t>Newberry</w:t>
      </w:r>
      <w:r w:rsidR="004D7DD5" w:rsidRPr="00A9414E">
        <w:rPr>
          <w:rFonts w:ascii="Book Antiqua" w:hAnsi="Book Antiqua"/>
          <w:sz w:val="22"/>
          <w:szCs w:val="22"/>
        </w:rPr>
        <w:t>, FL  32</w:t>
      </w:r>
      <w:r w:rsidR="00EB5A3D" w:rsidRPr="00A9414E">
        <w:rPr>
          <w:rFonts w:ascii="Book Antiqua" w:hAnsi="Book Antiqua"/>
          <w:sz w:val="22"/>
          <w:szCs w:val="22"/>
        </w:rPr>
        <w:t>6</w:t>
      </w:r>
      <w:r>
        <w:rPr>
          <w:rFonts w:ascii="Book Antiqua" w:hAnsi="Book Antiqua"/>
          <w:sz w:val="22"/>
          <w:szCs w:val="22"/>
        </w:rPr>
        <w:t>69</w:t>
      </w:r>
    </w:p>
    <w:p w:rsidR="00194AA6" w:rsidRPr="00A9414E" w:rsidRDefault="00194AA6" w:rsidP="00194AA6">
      <w:pPr>
        <w:widowControl w:val="0"/>
        <w:jc w:val="center"/>
        <w:rPr>
          <w:rFonts w:ascii="Book Antiqua" w:hAnsi="Book Antiqua"/>
          <w:sz w:val="22"/>
          <w:szCs w:val="22"/>
          <w:highlight w:val="yellow"/>
        </w:rPr>
      </w:pPr>
    </w:p>
    <w:p w:rsidR="00194AA6" w:rsidRPr="00A9414E" w:rsidRDefault="00DB7279" w:rsidP="00194AA6">
      <w:pPr>
        <w:widowControl w:val="0"/>
        <w:jc w:val="center"/>
        <w:rPr>
          <w:rFonts w:ascii="Book Antiqua" w:hAnsi="Book Antiqua"/>
          <w:sz w:val="22"/>
          <w:szCs w:val="22"/>
        </w:rPr>
      </w:pPr>
      <w:r>
        <w:rPr>
          <w:rFonts w:ascii="Book Antiqua" w:hAnsi="Book Antiqua"/>
          <w:sz w:val="22"/>
          <w:szCs w:val="22"/>
        </w:rPr>
        <w:t>Thompson S. Baker Cement Plant - Newberry</w:t>
      </w:r>
    </w:p>
    <w:p w:rsidR="00194AA6" w:rsidRPr="00A9414E" w:rsidRDefault="00194AA6" w:rsidP="00194AA6">
      <w:pPr>
        <w:widowControl w:val="0"/>
        <w:jc w:val="center"/>
        <w:rPr>
          <w:rFonts w:ascii="Book Antiqua" w:hAnsi="Book Antiqua"/>
          <w:sz w:val="22"/>
          <w:szCs w:val="22"/>
        </w:rPr>
      </w:pPr>
      <w:r w:rsidRPr="00A9414E">
        <w:rPr>
          <w:rFonts w:ascii="Book Antiqua" w:hAnsi="Book Antiqua"/>
          <w:sz w:val="22"/>
          <w:szCs w:val="22"/>
        </w:rPr>
        <w:t xml:space="preserve">ARMS Facility ID No. </w:t>
      </w:r>
      <w:r w:rsidR="00DB7279">
        <w:rPr>
          <w:rFonts w:ascii="Book Antiqua" w:hAnsi="Book Antiqua"/>
          <w:sz w:val="22"/>
          <w:szCs w:val="22"/>
        </w:rPr>
        <w:t>0010087</w:t>
      </w:r>
    </w:p>
    <w:p w:rsidR="00DB7279" w:rsidRPr="00A9414E" w:rsidRDefault="00DB7279" w:rsidP="00DB7279">
      <w:pPr>
        <w:widowControl w:val="0"/>
        <w:jc w:val="center"/>
        <w:rPr>
          <w:rFonts w:ascii="Book Antiqua" w:hAnsi="Book Antiqua"/>
          <w:sz w:val="22"/>
          <w:szCs w:val="22"/>
        </w:rPr>
      </w:pPr>
    </w:p>
    <w:p w:rsidR="00194AA6" w:rsidRPr="00A9414E" w:rsidRDefault="00194AA6" w:rsidP="00176B64">
      <w:pPr>
        <w:widowControl w:val="0"/>
        <w:jc w:val="center"/>
        <w:rPr>
          <w:rFonts w:ascii="Book Antiqua" w:hAnsi="Book Antiqua"/>
          <w:sz w:val="22"/>
          <w:szCs w:val="22"/>
        </w:rPr>
      </w:pPr>
    </w:p>
    <w:p w:rsidR="00194AA6" w:rsidRPr="00A9414E" w:rsidRDefault="00194AA6" w:rsidP="00194AA6">
      <w:pPr>
        <w:jc w:val="center"/>
        <w:rPr>
          <w:rFonts w:ascii="Book Antiqua" w:hAnsi="Book Antiqua"/>
          <w:sz w:val="22"/>
        </w:rPr>
      </w:pPr>
    </w:p>
    <w:p w:rsidR="00193F10" w:rsidRPr="00A9414E" w:rsidRDefault="00193F10" w:rsidP="00194AA6">
      <w:pPr>
        <w:pStyle w:val="Heading4"/>
        <w:spacing w:after="120"/>
        <w:rPr>
          <w:rFonts w:ascii="Book Antiqua" w:hAnsi="Book Antiqua"/>
          <w:bCs/>
        </w:rPr>
      </w:pPr>
      <w:r w:rsidRPr="00A9414E">
        <w:rPr>
          <w:rFonts w:ascii="Book Antiqua" w:hAnsi="Book Antiqua"/>
          <w:bCs/>
        </w:rPr>
        <w:t>PROJECT</w:t>
      </w:r>
    </w:p>
    <w:p w:rsidR="00193F10" w:rsidRPr="00A9414E" w:rsidRDefault="00193F10" w:rsidP="00194AA6">
      <w:pPr>
        <w:pStyle w:val="Heading1"/>
        <w:spacing w:after="0"/>
        <w:ind w:left="0"/>
        <w:jc w:val="center"/>
        <w:rPr>
          <w:rFonts w:ascii="Book Antiqua" w:hAnsi="Book Antiqua"/>
          <w:sz w:val="22"/>
        </w:rPr>
      </w:pPr>
      <w:r w:rsidRPr="00A9414E">
        <w:rPr>
          <w:rFonts w:ascii="Book Antiqua" w:hAnsi="Book Antiqua"/>
          <w:sz w:val="22"/>
        </w:rPr>
        <w:t>P</w:t>
      </w:r>
      <w:r w:rsidR="00194AA6" w:rsidRPr="00A9414E">
        <w:rPr>
          <w:rFonts w:ascii="Book Antiqua" w:hAnsi="Book Antiqua"/>
          <w:sz w:val="22"/>
        </w:rPr>
        <w:t>roject</w:t>
      </w:r>
      <w:r w:rsidRPr="00A9414E">
        <w:rPr>
          <w:rFonts w:ascii="Book Antiqua" w:hAnsi="Book Antiqua"/>
          <w:sz w:val="22"/>
        </w:rPr>
        <w:t xml:space="preserve"> No. </w:t>
      </w:r>
      <w:r w:rsidR="00DB7279">
        <w:rPr>
          <w:rFonts w:ascii="Book Antiqua" w:hAnsi="Book Antiqua"/>
          <w:sz w:val="22"/>
        </w:rPr>
        <w:t>0010087-042</w:t>
      </w:r>
      <w:r w:rsidR="004D7DD5" w:rsidRPr="00A9414E">
        <w:rPr>
          <w:rFonts w:ascii="Book Antiqua" w:hAnsi="Book Antiqua"/>
          <w:sz w:val="22"/>
        </w:rPr>
        <w:t>-AC</w:t>
      </w:r>
    </w:p>
    <w:p w:rsidR="00194AA6" w:rsidRPr="00A9414E" w:rsidRDefault="00194AA6" w:rsidP="00194AA6">
      <w:pPr>
        <w:jc w:val="center"/>
        <w:rPr>
          <w:rFonts w:ascii="Book Antiqua" w:hAnsi="Book Antiqua"/>
          <w:sz w:val="22"/>
        </w:rPr>
      </w:pPr>
      <w:r w:rsidRPr="00A9414E">
        <w:rPr>
          <w:rFonts w:ascii="Book Antiqua" w:hAnsi="Book Antiqua"/>
          <w:sz w:val="22"/>
        </w:rPr>
        <w:t xml:space="preserve">Application for </w:t>
      </w:r>
      <w:r w:rsidR="00DB7279">
        <w:rPr>
          <w:rFonts w:ascii="Book Antiqua" w:hAnsi="Book Antiqua"/>
          <w:sz w:val="22"/>
        </w:rPr>
        <w:t xml:space="preserve">Minor Source </w:t>
      </w:r>
      <w:r w:rsidRPr="00A9414E">
        <w:rPr>
          <w:rFonts w:ascii="Book Antiqua" w:hAnsi="Book Antiqua"/>
          <w:sz w:val="22"/>
        </w:rPr>
        <w:t>Air Construction Permit</w:t>
      </w:r>
    </w:p>
    <w:p w:rsidR="00193F10" w:rsidRPr="00A9414E" w:rsidRDefault="00DB7279" w:rsidP="00194AA6">
      <w:pPr>
        <w:jc w:val="center"/>
        <w:rPr>
          <w:rFonts w:ascii="Book Antiqua" w:hAnsi="Book Antiqua"/>
          <w:sz w:val="22"/>
        </w:rPr>
      </w:pPr>
      <w:r>
        <w:rPr>
          <w:rFonts w:ascii="Book Antiqua" w:hAnsi="Book Antiqua"/>
          <w:sz w:val="22"/>
        </w:rPr>
        <w:t xml:space="preserve">Proposed Limestone Storage Silo &amp; </w:t>
      </w:r>
      <w:r w:rsidR="005063EE">
        <w:rPr>
          <w:rFonts w:ascii="Book Antiqua" w:hAnsi="Book Antiqua"/>
          <w:sz w:val="22"/>
        </w:rPr>
        <w:t>Kiln ESP dust</w:t>
      </w:r>
      <w:r>
        <w:rPr>
          <w:rFonts w:ascii="Book Antiqua" w:hAnsi="Book Antiqua"/>
          <w:sz w:val="22"/>
        </w:rPr>
        <w:t xml:space="preserve"> Transport System Tie-In</w:t>
      </w:r>
      <w:r w:rsidR="004D7DD5" w:rsidRPr="00A9414E">
        <w:rPr>
          <w:rFonts w:ascii="Book Antiqua" w:hAnsi="Book Antiqua"/>
          <w:sz w:val="22"/>
        </w:rPr>
        <w:t xml:space="preserve"> Project</w:t>
      </w:r>
    </w:p>
    <w:p w:rsidR="00193F10" w:rsidRPr="00A9414E" w:rsidRDefault="00193F10" w:rsidP="00194AA6">
      <w:pPr>
        <w:jc w:val="center"/>
        <w:rPr>
          <w:rFonts w:ascii="Book Antiqua" w:hAnsi="Book Antiqua"/>
          <w:sz w:val="22"/>
        </w:rPr>
      </w:pPr>
    </w:p>
    <w:p w:rsidR="00193F10" w:rsidRPr="00A9414E" w:rsidRDefault="00193F10" w:rsidP="00194AA6">
      <w:pPr>
        <w:jc w:val="center"/>
        <w:rPr>
          <w:rFonts w:ascii="Book Antiqua" w:hAnsi="Book Antiqua"/>
          <w:sz w:val="22"/>
        </w:rPr>
      </w:pPr>
    </w:p>
    <w:p w:rsidR="00193F10" w:rsidRPr="00A9414E" w:rsidRDefault="00193F10" w:rsidP="00194AA6">
      <w:pPr>
        <w:jc w:val="center"/>
        <w:rPr>
          <w:rFonts w:ascii="Book Antiqua" w:hAnsi="Book Antiqua"/>
          <w:sz w:val="22"/>
        </w:rPr>
      </w:pPr>
    </w:p>
    <w:p w:rsidR="00193F10" w:rsidRPr="00A9414E" w:rsidRDefault="00193F10" w:rsidP="00194AA6">
      <w:pPr>
        <w:pStyle w:val="Heading4"/>
        <w:spacing w:after="120"/>
        <w:rPr>
          <w:rFonts w:ascii="Book Antiqua" w:hAnsi="Book Antiqua"/>
          <w:bCs/>
        </w:rPr>
      </w:pPr>
      <w:r w:rsidRPr="00A9414E">
        <w:rPr>
          <w:rFonts w:ascii="Book Antiqua" w:hAnsi="Book Antiqua"/>
          <w:bCs/>
        </w:rPr>
        <w:t>COUNTY</w:t>
      </w:r>
    </w:p>
    <w:p w:rsidR="00193F10" w:rsidRPr="00A9414E" w:rsidRDefault="00DB7279" w:rsidP="00194AA6">
      <w:pPr>
        <w:jc w:val="center"/>
        <w:rPr>
          <w:rFonts w:ascii="Book Antiqua" w:hAnsi="Book Antiqua"/>
          <w:sz w:val="22"/>
        </w:rPr>
      </w:pPr>
      <w:r>
        <w:rPr>
          <w:rFonts w:ascii="Book Antiqua" w:hAnsi="Book Antiqua"/>
          <w:sz w:val="22"/>
        </w:rPr>
        <w:t>Alachua</w:t>
      </w:r>
      <w:r w:rsidR="001D487F" w:rsidRPr="00A9414E">
        <w:rPr>
          <w:rFonts w:ascii="Book Antiqua" w:hAnsi="Book Antiqua"/>
          <w:sz w:val="22"/>
        </w:rPr>
        <w:t>, Florida</w:t>
      </w:r>
    </w:p>
    <w:p w:rsidR="00193F10" w:rsidRPr="00A9414E" w:rsidRDefault="00193F10" w:rsidP="00194AA6">
      <w:pPr>
        <w:jc w:val="center"/>
        <w:rPr>
          <w:rFonts w:ascii="Book Antiqua" w:hAnsi="Book Antiqua"/>
          <w:sz w:val="22"/>
          <w:u w:val="single"/>
        </w:rPr>
      </w:pPr>
    </w:p>
    <w:p w:rsidR="00193F10" w:rsidRPr="00A9414E" w:rsidRDefault="00193F10" w:rsidP="00194AA6">
      <w:pPr>
        <w:jc w:val="center"/>
        <w:rPr>
          <w:rFonts w:ascii="Book Antiqua" w:hAnsi="Book Antiqua"/>
          <w:sz w:val="22"/>
          <w:u w:val="single"/>
        </w:rPr>
      </w:pPr>
    </w:p>
    <w:p w:rsidR="00193F10" w:rsidRPr="00A9414E" w:rsidRDefault="00193F10" w:rsidP="00194AA6">
      <w:pPr>
        <w:jc w:val="center"/>
        <w:rPr>
          <w:rFonts w:ascii="Book Antiqua" w:hAnsi="Book Antiqua"/>
          <w:sz w:val="22"/>
        </w:rPr>
      </w:pPr>
    </w:p>
    <w:p w:rsidR="00193F10" w:rsidRPr="00A9414E" w:rsidRDefault="00193F10" w:rsidP="00194AA6">
      <w:pPr>
        <w:pStyle w:val="Heading8"/>
        <w:jc w:val="center"/>
        <w:rPr>
          <w:rFonts w:ascii="Book Antiqua" w:hAnsi="Book Antiqua"/>
        </w:rPr>
      </w:pPr>
      <w:r w:rsidRPr="00A9414E">
        <w:rPr>
          <w:rFonts w:ascii="Book Antiqua" w:hAnsi="Book Antiqua"/>
        </w:rPr>
        <w:t>PERMITTING</w:t>
      </w:r>
      <w:r w:rsidR="001D487F" w:rsidRPr="00A9414E">
        <w:rPr>
          <w:rFonts w:ascii="Book Antiqua" w:hAnsi="Book Antiqua"/>
        </w:rPr>
        <w:t xml:space="preserve"> </w:t>
      </w:r>
      <w:r w:rsidRPr="00A9414E">
        <w:rPr>
          <w:rFonts w:ascii="Book Antiqua" w:hAnsi="Book Antiqua"/>
        </w:rPr>
        <w:t>AUTHORITY</w:t>
      </w:r>
    </w:p>
    <w:p w:rsidR="00194AA6" w:rsidRPr="00A9414E" w:rsidRDefault="00194AA6" w:rsidP="00194AA6">
      <w:pPr>
        <w:widowControl w:val="0"/>
        <w:jc w:val="center"/>
        <w:rPr>
          <w:rFonts w:ascii="Book Antiqua" w:hAnsi="Book Antiqua"/>
          <w:sz w:val="22"/>
          <w:szCs w:val="22"/>
        </w:rPr>
      </w:pPr>
      <w:r w:rsidRPr="00A9414E">
        <w:rPr>
          <w:rFonts w:ascii="Book Antiqua" w:hAnsi="Book Antiqua"/>
          <w:sz w:val="22"/>
          <w:szCs w:val="22"/>
        </w:rPr>
        <w:t>Florida Department of Environmental Protection</w:t>
      </w:r>
    </w:p>
    <w:p w:rsidR="00194AA6" w:rsidRPr="00A9414E" w:rsidRDefault="00E40CFF" w:rsidP="00194AA6">
      <w:pPr>
        <w:widowControl w:val="0"/>
        <w:jc w:val="center"/>
        <w:rPr>
          <w:rFonts w:ascii="Book Antiqua" w:hAnsi="Book Antiqua"/>
          <w:sz w:val="22"/>
          <w:szCs w:val="22"/>
        </w:rPr>
      </w:pPr>
      <w:r w:rsidRPr="00A9414E">
        <w:rPr>
          <w:rFonts w:ascii="Book Antiqua" w:hAnsi="Book Antiqua"/>
          <w:sz w:val="22"/>
          <w:szCs w:val="22"/>
        </w:rPr>
        <w:t>Northeast District Office</w:t>
      </w:r>
    </w:p>
    <w:p w:rsidR="00194AA6" w:rsidRPr="00A9414E" w:rsidRDefault="00E40CFF" w:rsidP="00194AA6">
      <w:pPr>
        <w:widowControl w:val="0"/>
        <w:jc w:val="center"/>
        <w:rPr>
          <w:rFonts w:ascii="Book Antiqua" w:hAnsi="Book Antiqua"/>
          <w:sz w:val="22"/>
          <w:szCs w:val="22"/>
        </w:rPr>
      </w:pPr>
      <w:r w:rsidRPr="00A9414E">
        <w:rPr>
          <w:rFonts w:ascii="Book Antiqua" w:hAnsi="Book Antiqua"/>
          <w:sz w:val="22"/>
          <w:szCs w:val="22"/>
        </w:rPr>
        <w:t>Air Resources Section</w:t>
      </w:r>
    </w:p>
    <w:p w:rsidR="00194AA6" w:rsidRPr="00A9414E" w:rsidRDefault="00E40CFF" w:rsidP="00194AA6">
      <w:pPr>
        <w:widowControl w:val="0"/>
        <w:jc w:val="center"/>
        <w:rPr>
          <w:rFonts w:ascii="Book Antiqua" w:hAnsi="Book Antiqua"/>
          <w:sz w:val="22"/>
          <w:szCs w:val="22"/>
        </w:rPr>
      </w:pPr>
      <w:r w:rsidRPr="00A9414E">
        <w:rPr>
          <w:rFonts w:ascii="Book Antiqua" w:hAnsi="Book Antiqua"/>
          <w:sz w:val="22"/>
          <w:szCs w:val="22"/>
        </w:rPr>
        <w:t>7625 Baymeadows Way, Suite B200</w:t>
      </w:r>
    </w:p>
    <w:p w:rsidR="00194AA6" w:rsidRPr="00A9414E" w:rsidRDefault="00E40CFF" w:rsidP="00194AA6">
      <w:pPr>
        <w:widowControl w:val="0"/>
        <w:jc w:val="center"/>
        <w:rPr>
          <w:rFonts w:ascii="Book Antiqua" w:hAnsi="Book Antiqua"/>
          <w:sz w:val="22"/>
          <w:szCs w:val="22"/>
        </w:rPr>
      </w:pPr>
      <w:r w:rsidRPr="00A9414E">
        <w:rPr>
          <w:rFonts w:ascii="Book Antiqua" w:hAnsi="Book Antiqua"/>
          <w:sz w:val="22"/>
          <w:szCs w:val="22"/>
        </w:rPr>
        <w:t>Jacksonville</w:t>
      </w:r>
      <w:r w:rsidR="00194AA6" w:rsidRPr="00A9414E">
        <w:rPr>
          <w:rFonts w:ascii="Book Antiqua" w:hAnsi="Book Antiqua"/>
          <w:sz w:val="22"/>
          <w:szCs w:val="22"/>
        </w:rPr>
        <w:t xml:space="preserve">, </w:t>
      </w:r>
      <w:smartTag w:uri="urn:schemas-microsoft-com:office:smarttags" w:element="State">
        <w:r w:rsidR="00194AA6" w:rsidRPr="00A9414E">
          <w:rPr>
            <w:rFonts w:ascii="Book Antiqua" w:hAnsi="Book Antiqua"/>
            <w:sz w:val="22"/>
            <w:szCs w:val="22"/>
          </w:rPr>
          <w:t>Florida</w:t>
        </w:r>
      </w:smartTag>
      <w:r w:rsidR="00194AA6" w:rsidRPr="00A9414E">
        <w:rPr>
          <w:rFonts w:ascii="Book Antiqua" w:hAnsi="Book Antiqua"/>
          <w:sz w:val="22"/>
          <w:szCs w:val="22"/>
        </w:rPr>
        <w:t xml:space="preserve">  32</w:t>
      </w:r>
      <w:r w:rsidRPr="00A9414E">
        <w:rPr>
          <w:rFonts w:ascii="Book Antiqua" w:hAnsi="Book Antiqua"/>
          <w:sz w:val="22"/>
          <w:szCs w:val="22"/>
        </w:rPr>
        <w:t>256</w:t>
      </w:r>
      <w:r w:rsidR="00194AA6" w:rsidRPr="00A9414E">
        <w:rPr>
          <w:rFonts w:ascii="Book Antiqua" w:hAnsi="Book Antiqua"/>
          <w:sz w:val="22"/>
          <w:szCs w:val="22"/>
        </w:rPr>
        <w:t>-</w:t>
      </w:r>
      <w:r w:rsidRPr="00A9414E">
        <w:rPr>
          <w:rFonts w:ascii="Book Antiqua" w:hAnsi="Book Antiqua"/>
          <w:sz w:val="22"/>
          <w:szCs w:val="22"/>
        </w:rPr>
        <w:t>7590</w:t>
      </w:r>
    </w:p>
    <w:p w:rsidR="00193F10" w:rsidRPr="00A9414E" w:rsidRDefault="00193F10" w:rsidP="00194AA6">
      <w:pPr>
        <w:jc w:val="center"/>
        <w:rPr>
          <w:rFonts w:ascii="Book Antiqua" w:hAnsi="Book Antiqua"/>
          <w:sz w:val="22"/>
        </w:rPr>
      </w:pPr>
    </w:p>
    <w:p w:rsidR="00193F10" w:rsidRPr="00A9414E" w:rsidRDefault="00193F10" w:rsidP="00194AA6">
      <w:pPr>
        <w:jc w:val="center"/>
        <w:rPr>
          <w:rFonts w:ascii="Book Antiqua" w:hAnsi="Book Antiqua"/>
          <w:sz w:val="22"/>
        </w:rPr>
      </w:pPr>
    </w:p>
    <w:p w:rsidR="00193F10" w:rsidRPr="00A9414E" w:rsidRDefault="00193F10" w:rsidP="00194AA6">
      <w:pPr>
        <w:jc w:val="center"/>
        <w:rPr>
          <w:rFonts w:ascii="Book Antiqua" w:hAnsi="Book Antiqua"/>
          <w:sz w:val="22"/>
        </w:rPr>
      </w:pPr>
    </w:p>
    <w:p w:rsidR="00193F10" w:rsidRPr="001D487F" w:rsidRDefault="00DB7279" w:rsidP="00194AA6">
      <w:pPr>
        <w:jc w:val="center"/>
        <w:rPr>
          <w:sz w:val="22"/>
        </w:rPr>
      </w:pPr>
      <w:r>
        <w:rPr>
          <w:rFonts w:ascii="Book Antiqua" w:hAnsi="Book Antiqua"/>
          <w:sz w:val="22"/>
        </w:rPr>
        <w:t xml:space="preserve">March </w:t>
      </w:r>
      <w:r w:rsidR="00F364E9">
        <w:rPr>
          <w:rFonts w:ascii="Book Antiqua" w:hAnsi="Book Antiqua"/>
          <w:sz w:val="22"/>
        </w:rPr>
        <w:t>1</w:t>
      </w:r>
      <w:r w:rsidR="005063EE">
        <w:rPr>
          <w:rFonts w:ascii="Book Antiqua" w:hAnsi="Book Antiqua"/>
          <w:sz w:val="22"/>
        </w:rPr>
        <w:t>9</w:t>
      </w:r>
      <w:r>
        <w:rPr>
          <w:rFonts w:ascii="Book Antiqua" w:hAnsi="Book Antiqua"/>
          <w:sz w:val="22"/>
        </w:rPr>
        <w:t>, 2012</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pPr>
        <w:jc w:val="center"/>
        <w:rPr>
          <w:sz w:val="22"/>
        </w:rPr>
        <w:sectPr w:rsidR="00193F10">
          <w:pgSz w:w="12240" w:h="15840" w:code="1"/>
          <w:pgMar w:top="720" w:right="1152" w:bottom="720" w:left="1152" w:header="720" w:footer="720" w:gutter="0"/>
          <w:paperSrc w:first="7" w:other="7"/>
          <w:pgNumType w:start="1"/>
          <w:cols w:space="720"/>
        </w:sectPr>
      </w:pPr>
    </w:p>
    <w:p w:rsidR="00BA2DE2" w:rsidRDefault="00BA2DE2">
      <w:pPr>
        <w:spacing w:after="120"/>
        <w:rPr>
          <w:rFonts w:ascii="Book Antiqua" w:hAnsi="Book Antiqua"/>
          <w:b/>
          <w:caps/>
          <w:sz w:val="22"/>
        </w:rPr>
      </w:pPr>
    </w:p>
    <w:p w:rsidR="00193F10" w:rsidRPr="004B2C08" w:rsidRDefault="00193F10">
      <w:pPr>
        <w:spacing w:after="120"/>
        <w:rPr>
          <w:rFonts w:ascii="Book Antiqua" w:hAnsi="Book Antiqua"/>
          <w:b/>
          <w:caps/>
          <w:sz w:val="22"/>
        </w:rPr>
      </w:pPr>
      <w:r w:rsidRPr="004B2C08">
        <w:rPr>
          <w:rFonts w:ascii="Book Antiqua" w:hAnsi="Book Antiqua"/>
          <w:b/>
          <w:caps/>
          <w:sz w:val="22"/>
        </w:rPr>
        <w:t>1.  General Project INFORMATION</w:t>
      </w:r>
    </w:p>
    <w:p w:rsidR="00EE6112" w:rsidRPr="00A754BE" w:rsidRDefault="00EE6112" w:rsidP="00EE6112">
      <w:pPr>
        <w:pStyle w:val="Heading9"/>
        <w:keepNext w:val="0"/>
        <w:widowControl w:val="0"/>
        <w:ind w:left="0"/>
        <w:rPr>
          <w:rFonts w:ascii="Book Antiqua" w:hAnsi="Book Antiqua"/>
          <w:b/>
          <w:bCs/>
          <w:szCs w:val="22"/>
          <w:u w:val="none"/>
        </w:rPr>
      </w:pPr>
      <w:r w:rsidRPr="00A754BE">
        <w:rPr>
          <w:rFonts w:ascii="Book Antiqua" w:hAnsi="Book Antiqua"/>
          <w:b/>
          <w:bCs/>
          <w:szCs w:val="22"/>
          <w:u w:val="none"/>
        </w:rPr>
        <w:t>Air Pollution Regulations</w:t>
      </w:r>
    </w:p>
    <w:p w:rsidR="00EE6112" w:rsidRPr="00A754BE" w:rsidRDefault="00EE6112" w:rsidP="00EE6112">
      <w:pPr>
        <w:spacing w:after="120"/>
        <w:rPr>
          <w:rFonts w:ascii="Book Antiqua" w:hAnsi="Book Antiqua"/>
          <w:sz w:val="22"/>
          <w:szCs w:val="22"/>
        </w:rPr>
      </w:pPr>
      <w:r w:rsidRPr="00A754BE">
        <w:rPr>
          <w:rFonts w:ascii="Book Antiqua" w:hAnsi="Book Antiqua"/>
          <w:sz w:val="22"/>
          <w:szCs w:val="22"/>
        </w:rPr>
        <w:t>Projects with the potential to emit air pollution are subject to the applicable environmental laws specified in Section 403 of the Florida Statutes (F.S.).  The statutes authoriz</w:t>
      </w:r>
      <w:r w:rsidR="000C5143" w:rsidRPr="00A754BE">
        <w:rPr>
          <w:rFonts w:ascii="Book Antiqua" w:hAnsi="Book Antiqua"/>
          <w:sz w:val="22"/>
          <w:szCs w:val="22"/>
        </w:rPr>
        <w:t>e</w:t>
      </w:r>
      <w:r w:rsidRPr="00A754BE">
        <w:rPr>
          <w:rFonts w:ascii="Book Antiqua" w:hAnsi="Book Antiqua"/>
          <w:sz w:val="22"/>
          <w:szCs w:val="22"/>
        </w:rPr>
        <w:t xml:space="preserve"> the Department of Environmental Protection (Department) to establish regulations regarding air quality as part of the Florida Administrative Code (F.A.C.), which includes the following chapters:  62-4 (Permits); 62-204 (Air Pollution Control – General Provisions); 62-210 (Stationary Sources – General Requirements); 62-212 (Stationary Sources</w:t>
      </w:r>
      <w:r w:rsidR="00D51D78" w:rsidRPr="00A754BE">
        <w:rPr>
          <w:rFonts w:ascii="Book Antiqua" w:hAnsi="Book Antiqua"/>
          <w:sz w:val="22"/>
          <w:szCs w:val="22"/>
        </w:rPr>
        <w:t xml:space="preserve"> – </w:t>
      </w:r>
      <w:r w:rsidRPr="00A754BE">
        <w:rPr>
          <w:rFonts w:ascii="Book Antiqua" w:hAnsi="Book Antiqua"/>
          <w:sz w:val="22"/>
          <w:szCs w:val="22"/>
        </w:rPr>
        <w:t>Preconstruction Review); 62-213 (Operation Permits for Major Sources of Air Pollution); 62-296 (Stationary Sources - Emission Standards); and 62-297 (Stationary Sources</w:t>
      </w:r>
      <w:r w:rsidR="00D51D78" w:rsidRPr="00A754BE">
        <w:rPr>
          <w:rFonts w:ascii="Book Antiqua" w:hAnsi="Book Antiqua"/>
          <w:sz w:val="22"/>
          <w:szCs w:val="22"/>
        </w:rPr>
        <w:t xml:space="preserve"> – </w:t>
      </w:r>
      <w:r w:rsidRPr="00A754BE">
        <w:rPr>
          <w:rFonts w:ascii="Book Antiqua" w:hAnsi="Book Antiqua"/>
          <w:sz w:val="22"/>
          <w:szCs w:val="22"/>
        </w:rPr>
        <w:t>Emissions Monitoring).  Specifically, air construction permits are required pursuant to Rules 62-4, 62-210 and 62-212, F.A.C.</w:t>
      </w:r>
    </w:p>
    <w:p w:rsidR="00EE6112" w:rsidRPr="000302D6" w:rsidRDefault="00EE6112" w:rsidP="00EE6112">
      <w:pPr>
        <w:spacing w:after="120"/>
        <w:rPr>
          <w:sz w:val="22"/>
          <w:szCs w:val="22"/>
        </w:rPr>
      </w:pPr>
      <w:r w:rsidRPr="00A754BE">
        <w:rPr>
          <w:rFonts w:ascii="Book Antiqua" w:hAnsi="Book Antiqua"/>
          <w:sz w:val="22"/>
          <w:szCs w:val="22"/>
        </w:rPr>
        <w:t>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DB7279" w:rsidRPr="00DB7279" w:rsidRDefault="00DB7279" w:rsidP="00DB7279">
      <w:pPr>
        <w:pStyle w:val="Heading9"/>
        <w:ind w:left="0"/>
        <w:rPr>
          <w:rFonts w:ascii="Book Antiqua" w:hAnsi="Book Antiqua"/>
          <w:b/>
          <w:bCs/>
          <w:u w:val="none"/>
        </w:rPr>
      </w:pPr>
      <w:r w:rsidRPr="00DB7279">
        <w:rPr>
          <w:rFonts w:ascii="Book Antiqua" w:hAnsi="Book Antiqua"/>
          <w:b/>
          <w:bCs/>
          <w:u w:val="none"/>
        </w:rPr>
        <w:t>Glossary of Common Terms</w:t>
      </w:r>
    </w:p>
    <w:p w:rsidR="00DB7279" w:rsidRPr="00DB7279" w:rsidRDefault="00DB7279" w:rsidP="00DB7279">
      <w:pPr>
        <w:pStyle w:val="Heading9"/>
        <w:ind w:left="0"/>
        <w:rPr>
          <w:rFonts w:ascii="Book Antiqua" w:hAnsi="Book Antiqua"/>
          <w:color w:val="000000"/>
          <w:szCs w:val="22"/>
          <w:u w:val="none"/>
        </w:rPr>
      </w:pPr>
      <w:r w:rsidRPr="00DB7279">
        <w:rPr>
          <w:rFonts w:ascii="Book Antiqua" w:hAnsi="Book Antiqua"/>
          <w:color w:val="000000"/>
          <w:szCs w:val="22"/>
          <w:u w:val="none"/>
        </w:rPr>
        <w:t>Because of the technical nature of the project, the permit contains numerous acronyms and</w:t>
      </w:r>
      <w:r>
        <w:rPr>
          <w:rFonts w:ascii="Book Antiqua" w:hAnsi="Book Antiqua"/>
          <w:color w:val="000000"/>
          <w:szCs w:val="22"/>
          <w:u w:val="none"/>
        </w:rPr>
        <w:t xml:space="preserve"> </w:t>
      </w:r>
      <w:r w:rsidRPr="00DB7279">
        <w:rPr>
          <w:rFonts w:ascii="Book Antiqua" w:hAnsi="Book Antiqua"/>
          <w:color w:val="000000"/>
          <w:szCs w:val="22"/>
          <w:u w:val="none"/>
        </w:rPr>
        <w:t>abbreviations, which are defined in Appendix A of this permit.</w:t>
      </w:r>
    </w:p>
    <w:p w:rsidR="00193F10" w:rsidRPr="004B2C08" w:rsidRDefault="00193F10" w:rsidP="00DB7279">
      <w:pPr>
        <w:pStyle w:val="Heading9"/>
        <w:ind w:left="0"/>
        <w:rPr>
          <w:rFonts w:ascii="Book Antiqua" w:hAnsi="Book Antiqua"/>
          <w:b/>
          <w:bCs/>
          <w:u w:val="none"/>
        </w:rPr>
      </w:pPr>
      <w:r w:rsidRPr="004B2C08">
        <w:rPr>
          <w:rFonts w:ascii="Book Antiqua" w:hAnsi="Book Antiqua"/>
          <w:b/>
          <w:bCs/>
          <w:u w:val="none"/>
        </w:rPr>
        <w:t xml:space="preserve">Facility </w:t>
      </w:r>
      <w:r w:rsidR="000B6940">
        <w:rPr>
          <w:rFonts w:ascii="Book Antiqua" w:hAnsi="Book Antiqua"/>
          <w:b/>
          <w:bCs/>
          <w:u w:val="none"/>
        </w:rPr>
        <w:t xml:space="preserve">Process </w:t>
      </w:r>
      <w:r w:rsidRPr="004B2C08">
        <w:rPr>
          <w:rFonts w:ascii="Book Antiqua" w:hAnsi="Book Antiqua"/>
          <w:b/>
          <w:bCs/>
          <w:u w:val="none"/>
        </w:rPr>
        <w:t>Description and Location</w:t>
      </w:r>
    </w:p>
    <w:p w:rsidR="00DB7279" w:rsidRDefault="00DB7279" w:rsidP="003D6012">
      <w:pPr>
        <w:pStyle w:val="BodyText3"/>
        <w:numPr>
          <w:ilvl w:val="12"/>
          <w:numId w:val="0"/>
        </w:numPr>
        <w:rPr>
          <w:rFonts w:ascii="Book Antiqua" w:hAnsi="Book Antiqua"/>
          <w:color w:val="000000"/>
          <w:szCs w:val="22"/>
        </w:rPr>
      </w:pPr>
      <w:r>
        <w:rPr>
          <w:rFonts w:ascii="Book Antiqua" w:hAnsi="Book Antiqua"/>
          <w:color w:val="000000"/>
          <w:szCs w:val="22"/>
        </w:rPr>
        <w:t>Florida Rock Industries, Inc. operates the Thompson S. Baker Cement Plant</w:t>
      </w:r>
      <w:r w:rsidR="000B6940" w:rsidRPr="00004D24">
        <w:rPr>
          <w:rFonts w:ascii="Book Antiqua" w:hAnsi="Book Antiqua"/>
          <w:color w:val="000000"/>
          <w:szCs w:val="22"/>
        </w:rPr>
        <w:t xml:space="preserve"> </w:t>
      </w:r>
      <w:r w:rsidR="003D6012">
        <w:rPr>
          <w:rFonts w:ascii="Book Antiqua" w:hAnsi="Book Antiqua"/>
          <w:color w:val="000000"/>
          <w:szCs w:val="22"/>
        </w:rPr>
        <w:t xml:space="preserve">which is an </w:t>
      </w:r>
      <w:r w:rsidR="003D6012" w:rsidRPr="003D6012">
        <w:rPr>
          <w:rFonts w:ascii="Book Antiqua" w:hAnsi="Book Antiqua"/>
          <w:color w:val="000000"/>
          <w:szCs w:val="22"/>
        </w:rPr>
        <w:t>existing cement manufacturing facility</w:t>
      </w:r>
      <w:r w:rsidR="003D6012">
        <w:rPr>
          <w:rFonts w:ascii="Book Antiqua" w:hAnsi="Book Antiqua"/>
          <w:color w:val="000000"/>
          <w:szCs w:val="22"/>
        </w:rPr>
        <w:t xml:space="preserve">.  </w:t>
      </w:r>
      <w:r w:rsidR="003D6012" w:rsidRPr="003D6012">
        <w:rPr>
          <w:rFonts w:ascii="Book Antiqua" w:hAnsi="Book Antiqua"/>
          <w:color w:val="000000"/>
          <w:szCs w:val="22"/>
        </w:rPr>
        <w:t>The operations are categorized under Standard</w:t>
      </w:r>
      <w:r w:rsidR="003D6012">
        <w:rPr>
          <w:rFonts w:ascii="Book Antiqua" w:hAnsi="Book Antiqua"/>
          <w:color w:val="000000"/>
          <w:szCs w:val="22"/>
        </w:rPr>
        <w:t xml:space="preserve"> </w:t>
      </w:r>
      <w:r w:rsidR="003D6012" w:rsidRPr="003D6012">
        <w:rPr>
          <w:rFonts w:ascii="Book Antiqua" w:hAnsi="Book Antiqua"/>
          <w:color w:val="000000"/>
          <w:szCs w:val="22"/>
        </w:rPr>
        <w:t>Industrial Classification Code No. 3241</w:t>
      </w:r>
      <w:r w:rsidR="003D6012">
        <w:rPr>
          <w:rFonts w:ascii="Book Antiqua" w:hAnsi="Book Antiqua"/>
          <w:color w:val="000000"/>
          <w:szCs w:val="22"/>
        </w:rPr>
        <w:t xml:space="preserve"> </w:t>
      </w:r>
      <w:r>
        <w:rPr>
          <w:rFonts w:ascii="Book Antiqua" w:hAnsi="Book Antiqua"/>
          <w:color w:val="000000"/>
          <w:szCs w:val="22"/>
        </w:rPr>
        <w:t>for</w:t>
      </w:r>
      <w:r w:rsidR="003D6012">
        <w:rPr>
          <w:rFonts w:ascii="Book Antiqua" w:hAnsi="Book Antiqua"/>
          <w:color w:val="000000"/>
          <w:szCs w:val="22"/>
        </w:rPr>
        <w:t xml:space="preserve"> hydraulic cement</w:t>
      </w:r>
      <w:r w:rsidR="000B6940" w:rsidRPr="00004D24">
        <w:rPr>
          <w:rFonts w:ascii="Book Antiqua" w:hAnsi="Book Antiqua"/>
          <w:color w:val="000000"/>
          <w:szCs w:val="22"/>
        </w:rPr>
        <w:t>.</w:t>
      </w:r>
      <w:r w:rsidR="000B6940">
        <w:rPr>
          <w:rFonts w:ascii="Book Antiqua" w:hAnsi="Book Antiqua"/>
          <w:color w:val="000000"/>
          <w:szCs w:val="22"/>
        </w:rPr>
        <w:t xml:space="preserve"> </w:t>
      </w:r>
    </w:p>
    <w:p w:rsidR="000B6940" w:rsidRDefault="000B6940" w:rsidP="000B6940">
      <w:pPr>
        <w:pStyle w:val="BodyText3"/>
        <w:numPr>
          <w:ilvl w:val="12"/>
          <w:numId w:val="0"/>
        </w:numPr>
        <w:rPr>
          <w:rFonts w:ascii="Book Antiqua" w:hAnsi="Book Antiqua"/>
          <w:color w:val="000000"/>
          <w:szCs w:val="22"/>
        </w:rPr>
      </w:pPr>
      <w:r w:rsidRPr="00004D24">
        <w:rPr>
          <w:rFonts w:ascii="Book Antiqua" w:hAnsi="Book Antiqua"/>
          <w:color w:val="000000"/>
          <w:szCs w:val="22"/>
        </w:rPr>
        <w:t xml:space="preserve">The facility consists of </w:t>
      </w:r>
      <w:r w:rsidR="003D6012">
        <w:rPr>
          <w:rFonts w:ascii="Book Antiqua" w:hAnsi="Book Antiqua"/>
          <w:color w:val="000000"/>
          <w:szCs w:val="22"/>
        </w:rPr>
        <w:t xml:space="preserve">limestone mining and processing, </w:t>
      </w:r>
      <w:r w:rsidR="00DB7279">
        <w:rPr>
          <w:rFonts w:ascii="Book Antiqua" w:hAnsi="Book Antiqua"/>
          <w:color w:val="000000"/>
          <w:szCs w:val="22"/>
        </w:rPr>
        <w:t>raw material handling and storage, a raw mill system, kiln system, clinker handling, finish grinding operations, cement handling, loading and bagging operations.</w:t>
      </w:r>
    </w:p>
    <w:p w:rsidR="00DB7279" w:rsidRDefault="00DB7279">
      <w:pPr>
        <w:pStyle w:val="Heading9"/>
        <w:ind w:left="0"/>
        <w:rPr>
          <w:rFonts w:ascii="Book Antiqua" w:hAnsi="Book Antiqua"/>
          <w:b/>
          <w:bCs/>
          <w:u w:val="none"/>
        </w:rPr>
      </w:pPr>
    </w:p>
    <w:p w:rsidR="00193F10" w:rsidRPr="00402448" w:rsidRDefault="001C4E37">
      <w:pPr>
        <w:pStyle w:val="Heading9"/>
        <w:ind w:left="0"/>
        <w:rPr>
          <w:rFonts w:ascii="Book Antiqua" w:hAnsi="Book Antiqua"/>
          <w:b/>
          <w:bCs/>
          <w:u w:val="none"/>
        </w:rPr>
      </w:pPr>
      <w:r w:rsidRPr="00402448">
        <w:rPr>
          <w:rFonts w:ascii="Book Antiqua" w:hAnsi="Book Antiqua"/>
          <w:b/>
          <w:bCs/>
          <w:u w:val="none"/>
        </w:rPr>
        <w:t xml:space="preserve">Facility </w:t>
      </w:r>
      <w:r w:rsidR="00193F10" w:rsidRPr="00402448">
        <w:rPr>
          <w:rFonts w:ascii="Book Antiqua" w:hAnsi="Book Antiqua"/>
          <w:b/>
          <w:bCs/>
          <w:u w:val="none"/>
        </w:rPr>
        <w:t>Regulatory Categories</w:t>
      </w:r>
    </w:p>
    <w:p w:rsidR="00F71458" w:rsidRPr="00402448" w:rsidRDefault="00F71458" w:rsidP="00F71458">
      <w:pPr>
        <w:numPr>
          <w:ilvl w:val="0"/>
          <w:numId w:val="3"/>
        </w:numPr>
        <w:spacing w:after="120"/>
        <w:rPr>
          <w:rFonts w:ascii="Book Antiqua" w:hAnsi="Book Antiqua"/>
          <w:sz w:val="22"/>
          <w:szCs w:val="22"/>
        </w:rPr>
      </w:pPr>
      <w:r w:rsidRPr="00402448">
        <w:rPr>
          <w:rFonts w:ascii="Book Antiqua" w:hAnsi="Book Antiqua"/>
          <w:sz w:val="22"/>
          <w:szCs w:val="22"/>
        </w:rPr>
        <w:t xml:space="preserve">The facility </w:t>
      </w:r>
      <w:r w:rsidR="001E6852" w:rsidRPr="00402448">
        <w:rPr>
          <w:rFonts w:ascii="Book Antiqua" w:hAnsi="Book Antiqua"/>
          <w:sz w:val="22"/>
          <w:szCs w:val="22"/>
        </w:rPr>
        <w:t>is</w:t>
      </w:r>
      <w:r w:rsidRPr="00402448">
        <w:rPr>
          <w:rFonts w:ascii="Book Antiqua" w:hAnsi="Book Antiqua"/>
          <w:sz w:val="22"/>
          <w:szCs w:val="22"/>
        </w:rPr>
        <w:t xml:space="preserve"> a major source of hazardous air pollutants (HAP).</w:t>
      </w:r>
    </w:p>
    <w:p w:rsidR="00F71458" w:rsidRPr="00402448" w:rsidRDefault="00F71458" w:rsidP="00F71458">
      <w:pPr>
        <w:pStyle w:val="BodyText"/>
        <w:numPr>
          <w:ilvl w:val="0"/>
          <w:numId w:val="3"/>
        </w:numPr>
        <w:rPr>
          <w:rFonts w:ascii="Book Antiqua" w:hAnsi="Book Antiqua"/>
          <w:sz w:val="22"/>
          <w:szCs w:val="22"/>
        </w:rPr>
      </w:pPr>
      <w:r w:rsidRPr="00402448">
        <w:rPr>
          <w:rFonts w:ascii="Book Antiqua" w:hAnsi="Book Antiqua"/>
          <w:sz w:val="22"/>
          <w:szCs w:val="22"/>
        </w:rPr>
        <w:t xml:space="preserve">The facility </w:t>
      </w:r>
      <w:r w:rsidR="000B6940">
        <w:rPr>
          <w:rFonts w:ascii="Book Antiqua" w:hAnsi="Book Antiqua"/>
          <w:sz w:val="22"/>
          <w:szCs w:val="22"/>
        </w:rPr>
        <w:t xml:space="preserve">does not </w:t>
      </w:r>
      <w:r w:rsidR="0060214D" w:rsidRPr="00402448">
        <w:rPr>
          <w:rFonts w:ascii="Book Antiqua" w:hAnsi="Book Antiqua"/>
          <w:sz w:val="22"/>
          <w:szCs w:val="22"/>
        </w:rPr>
        <w:t xml:space="preserve">operate </w:t>
      </w:r>
      <w:r w:rsidRPr="00402448">
        <w:rPr>
          <w:rFonts w:ascii="Book Antiqua" w:hAnsi="Book Antiqua"/>
          <w:sz w:val="22"/>
          <w:szCs w:val="22"/>
        </w:rPr>
        <w:t>units subject to the acid rain provisions of the Clean Air Act.</w:t>
      </w:r>
    </w:p>
    <w:p w:rsidR="00F71458" w:rsidRPr="00402448" w:rsidRDefault="00F71458" w:rsidP="00F71458">
      <w:pPr>
        <w:numPr>
          <w:ilvl w:val="0"/>
          <w:numId w:val="3"/>
        </w:numPr>
        <w:spacing w:after="120"/>
        <w:rPr>
          <w:rFonts w:ascii="Book Antiqua" w:hAnsi="Book Antiqua"/>
          <w:sz w:val="22"/>
          <w:szCs w:val="22"/>
        </w:rPr>
      </w:pPr>
      <w:r w:rsidRPr="00402448">
        <w:rPr>
          <w:rFonts w:ascii="Book Antiqua" w:hAnsi="Book Antiqua"/>
          <w:sz w:val="22"/>
          <w:szCs w:val="22"/>
        </w:rPr>
        <w:t>The facility is a Title V major source of air pollution in accordance with Chapter 213, F.A.C.</w:t>
      </w:r>
    </w:p>
    <w:p w:rsidR="00F71458" w:rsidRDefault="00F71458" w:rsidP="00F71458">
      <w:pPr>
        <w:numPr>
          <w:ilvl w:val="0"/>
          <w:numId w:val="3"/>
        </w:numPr>
        <w:spacing w:after="120"/>
        <w:rPr>
          <w:sz w:val="22"/>
          <w:szCs w:val="22"/>
        </w:rPr>
      </w:pPr>
      <w:r w:rsidRPr="00402448">
        <w:rPr>
          <w:rFonts w:ascii="Book Antiqua" w:hAnsi="Book Antiqua"/>
          <w:sz w:val="22"/>
          <w:szCs w:val="22"/>
        </w:rPr>
        <w:t>The facility is a major stationary source in accordance with Rule 62-212.400, F.A.C. for the Prevention of Significant Deterioration (PSD) of Air Quality.</w:t>
      </w:r>
    </w:p>
    <w:p w:rsidR="00193F10" w:rsidRPr="008000A7" w:rsidRDefault="00193F10">
      <w:pPr>
        <w:pStyle w:val="BodyText2"/>
        <w:numPr>
          <w:ilvl w:val="0"/>
          <w:numId w:val="0"/>
        </w:numPr>
        <w:rPr>
          <w:rFonts w:ascii="Book Antiqua" w:hAnsi="Book Antiqua"/>
          <w:b/>
          <w:bCs/>
        </w:rPr>
      </w:pPr>
      <w:r w:rsidRPr="008000A7">
        <w:rPr>
          <w:rFonts w:ascii="Book Antiqua" w:hAnsi="Book Antiqua"/>
          <w:b/>
          <w:bCs/>
        </w:rPr>
        <w:t>Project Description</w:t>
      </w:r>
    </w:p>
    <w:p w:rsidR="000E0B5C" w:rsidRDefault="00505817" w:rsidP="000E0B5C">
      <w:pPr>
        <w:pStyle w:val="BodyText2"/>
        <w:rPr>
          <w:rFonts w:ascii="Book Antiqua" w:hAnsi="Book Antiqua"/>
          <w:szCs w:val="22"/>
        </w:rPr>
      </w:pPr>
      <w:r w:rsidRPr="00505817">
        <w:rPr>
          <w:rFonts w:ascii="Book Antiqua" w:hAnsi="Book Antiqua"/>
          <w:szCs w:val="22"/>
        </w:rPr>
        <w:t xml:space="preserve">The Department received an air construction permit application from the applicant on </w:t>
      </w:r>
      <w:r w:rsidR="004E0F0B">
        <w:rPr>
          <w:rFonts w:ascii="Book Antiqua" w:hAnsi="Book Antiqua"/>
          <w:szCs w:val="22"/>
        </w:rPr>
        <w:t xml:space="preserve">February 1, 2012 </w:t>
      </w:r>
      <w:r w:rsidRPr="00505817">
        <w:rPr>
          <w:rFonts w:ascii="Book Antiqua" w:hAnsi="Book Antiqua"/>
          <w:szCs w:val="22"/>
        </w:rPr>
        <w:t xml:space="preserve">(additional </w:t>
      </w:r>
      <w:r w:rsidR="004E0F0B">
        <w:rPr>
          <w:rFonts w:ascii="Book Antiqua" w:hAnsi="Book Antiqua"/>
          <w:szCs w:val="22"/>
        </w:rPr>
        <w:t xml:space="preserve">clarifying </w:t>
      </w:r>
      <w:r w:rsidRPr="00505817">
        <w:rPr>
          <w:rFonts w:ascii="Book Antiqua" w:hAnsi="Book Antiqua"/>
          <w:szCs w:val="22"/>
        </w:rPr>
        <w:t xml:space="preserve">information received </w:t>
      </w:r>
      <w:r w:rsidR="005063EE">
        <w:rPr>
          <w:rFonts w:ascii="Book Antiqua" w:hAnsi="Book Antiqua"/>
          <w:szCs w:val="22"/>
        </w:rPr>
        <w:t>March 7, 2012</w:t>
      </w:r>
      <w:r w:rsidR="006F5D91">
        <w:rPr>
          <w:rFonts w:ascii="Book Antiqua" w:hAnsi="Book Antiqua"/>
          <w:szCs w:val="22"/>
        </w:rPr>
        <w:t xml:space="preserve"> and March 19, 2012</w:t>
      </w:r>
      <w:r w:rsidRPr="00505817">
        <w:rPr>
          <w:rFonts w:ascii="Book Antiqua" w:hAnsi="Book Antiqua"/>
          <w:szCs w:val="22"/>
        </w:rPr>
        <w:t>) for the construction of a new</w:t>
      </w:r>
      <w:r w:rsidR="00B95805">
        <w:rPr>
          <w:rFonts w:ascii="Book Antiqua" w:hAnsi="Book Antiqua"/>
          <w:szCs w:val="22"/>
        </w:rPr>
        <w:t xml:space="preserve"> </w:t>
      </w:r>
      <w:r w:rsidR="000E0B5C">
        <w:rPr>
          <w:rFonts w:ascii="Book Antiqua" w:hAnsi="Book Antiqua"/>
          <w:szCs w:val="22"/>
        </w:rPr>
        <w:t xml:space="preserve">2,000 ton capacity </w:t>
      </w:r>
      <w:r w:rsidR="004E0F0B">
        <w:rPr>
          <w:rFonts w:ascii="Book Antiqua" w:hAnsi="Book Antiqua"/>
          <w:szCs w:val="22"/>
        </w:rPr>
        <w:t>Limestone storage silo.  The silo will be located between the existing Nos. 1 and 2 Raw mills.</w:t>
      </w:r>
      <w:r w:rsidRPr="00505817">
        <w:rPr>
          <w:rFonts w:ascii="Book Antiqua" w:hAnsi="Book Antiqua"/>
          <w:szCs w:val="22"/>
        </w:rPr>
        <w:t xml:space="preserve"> </w:t>
      </w:r>
      <w:r w:rsidR="002246E8">
        <w:rPr>
          <w:rFonts w:ascii="Book Antiqua" w:hAnsi="Book Antiqua"/>
          <w:szCs w:val="22"/>
        </w:rPr>
        <w:t xml:space="preserve"> </w:t>
      </w:r>
      <w:r w:rsidR="004E0F0B">
        <w:rPr>
          <w:rFonts w:ascii="Book Antiqua" w:hAnsi="Book Antiqua"/>
          <w:szCs w:val="22"/>
        </w:rPr>
        <w:t xml:space="preserve">When one of the existing Raw mills is not being operated to process all of the </w:t>
      </w:r>
      <w:r w:rsidR="000E0B5C">
        <w:rPr>
          <w:rFonts w:ascii="Book Antiqua" w:hAnsi="Book Antiqua"/>
          <w:szCs w:val="22"/>
        </w:rPr>
        <w:t xml:space="preserve">necessary </w:t>
      </w:r>
      <w:r w:rsidR="004E0F0B">
        <w:rPr>
          <w:rFonts w:ascii="Book Antiqua" w:hAnsi="Book Antiqua"/>
          <w:szCs w:val="22"/>
        </w:rPr>
        <w:t xml:space="preserve">raw materials </w:t>
      </w:r>
      <w:r w:rsidR="000E0B5C">
        <w:rPr>
          <w:rFonts w:ascii="Book Antiqua" w:hAnsi="Book Antiqua"/>
          <w:szCs w:val="22"/>
        </w:rPr>
        <w:t>for cement</w:t>
      </w:r>
      <w:r w:rsidR="004E0F0B">
        <w:rPr>
          <w:rFonts w:ascii="Book Antiqua" w:hAnsi="Book Antiqua"/>
          <w:szCs w:val="22"/>
        </w:rPr>
        <w:t xml:space="preserve"> </w:t>
      </w:r>
      <w:r w:rsidR="000E0B5C">
        <w:rPr>
          <w:rFonts w:ascii="Book Antiqua" w:hAnsi="Book Antiqua"/>
          <w:szCs w:val="22"/>
        </w:rPr>
        <w:t>production</w:t>
      </w:r>
      <w:r w:rsidR="004E0F0B">
        <w:rPr>
          <w:rFonts w:ascii="Book Antiqua" w:hAnsi="Book Antiqua"/>
          <w:szCs w:val="22"/>
        </w:rPr>
        <w:t xml:space="preserve">, i.e. the kiln is not </w:t>
      </w:r>
      <w:r w:rsidR="004B55BA">
        <w:rPr>
          <w:rFonts w:ascii="Book Antiqua" w:hAnsi="Book Antiqua"/>
          <w:szCs w:val="22"/>
        </w:rPr>
        <w:t>in operation</w:t>
      </w:r>
      <w:r w:rsidR="004E0F0B">
        <w:rPr>
          <w:rFonts w:ascii="Book Antiqua" w:hAnsi="Book Antiqua"/>
          <w:szCs w:val="22"/>
        </w:rPr>
        <w:t xml:space="preserve"> at the time, </w:t>
      </w:r>
      <w:r w:rsidR="007142B1">
        <w:rPr>
          <w:rFonts w:ascii="Book Antiqua" w:hAnsi="Book Antiqua"/>
          <w:szCs w:val="22"/>
        </w:rPr>
        <w:t>it</w:t>
      </w:r>
      <w:r w:rsidR="004E0F0B">
        <w:rPr>
          <w:rFonts w:ascii="Book Antiqua" w:hAnsi="Book Antiqua"/>
          <w:szCs w:val="22"/>
        </w:rPr>
        <w:t xml:space="preserve"> will be used to </w:t>
      </w:r>
      <w:r w:rsidR="000E0B5C">
        <w:rPr>
          <w:rFonts w:ascii="Book Antiqua" w:hAnsi="Book Antiqua"/>
          <w:szCs w:val="22"/>
        </w:rPr>
        <w:t xml:space="preserve">only </w:t>
      </w:r>
      <w:r w:rsidR="004E0F0B">
        <w:rPr>
          <w:rFonts w:ascii="Book Antiqua" w:hAnsi="Book Antiqua"/>
          <w:szCs w:val="22"/>
        </w:rPr>
        <w:t xml:space="preserve">grind limestone.  </w:t>
      </w:r>
      <w:r w:rsidR="000E0B5C">
        <w:rPr>
          <w:rFonts w:ascii="Book Antiqua" w:hAnsi="Book Antiqua"/>
          <w:szCs w:val="22"/>
        </w:rPr>
        <w:t xml:space="preserve">This high quality pure limestone will be pneumatically transported to the </w:t>
      </w:r>
      <w:r w:rsidR="000D1C85">
        <w:rPr>
          <w:rFonts w:ascii="Book Antiqua" w:hAnsi="Book Antiqua"/>
          <w:szCs w:val="22"/>
        </w:rPr>
        <w:t xml:space="preserve">proposed </w:t>
      </w:r>
      <w:r w:rsidR="000E0B5C">
        <w:rPr>
          <w:rFonts w:ascii="Book Antiqua" w:hAnsi="Book Antiqua"/>
          <w:szCs w:val="22"/>
        </w:rPr>
        <w:t>silo for storage.  The limestone will either</w:t>
      </w:r>
      <w:r w:rsidR="000E0B5C" w:rsidRPr="000E0B5C">
        <w:rPr>
          <w:rFonts w:ascii="Book Antiqua" w:hAnsi="Book Antiqua"/>
          <w:szCs w:val="22"/>
        </w:rPr>
        <w:t xml:space="preserve"> be sold to third party purchasers</w:t>
      </w:r>
      <w:r w:rsidR="000E0B5C">
        <w:rPr>
          <w:rFonts w:ascii="Book Antiqua" w:hAnsi="Book Antiqua"/>
          <w:szCs w:val="22"/>
        </w:rPr>
        <w:t xml:space="preserve"> </w:t>
      </w:r>
      <w:r w:rsidR="000E0B5C" w:rsidRPr="000E0B5C">
        <w:rPr>
          <w:rFonts w:ascii="Book Antiqua" w:hAnsi="Book Antiqua"/>
          <w:szCs w:val="22"/>
        </w:rPr>
        <w:t>and/or used in the cement manufacturing process</w:t>
      </w:r>
      <w:r w:rsidR="000E0B5C">
        <w:rPr>
          <w:rFonts w:ascii="Book Antiqua" w:hAnsi="Book Antiqua"/>
          <w:szCs w:val="22"/>
        </w:rPr>
        <w:t xml:space="preserve">.  Particulate matter </w:t>
      </w:r>
      <w:r w:rsidR="00A83DF5">
        <w:rPr>
          <w:rFonts w:ascii="Book Antiqua" w:hAnsi="Book Antiqua"/>
          <w:szCs w:val="22"/>
        </w:rPr>
        <w:t xml:space="preserve">(PM) </w:t>
      </w:r>
      <w:r w:rsidR="000E0B5C">
        <w:rPr>
          <w:rFonts w:ascii="Book Antiqua" w:hAnsi="Book Antiqua"/>
          <w:szCs w:val="22"/>
        </w:rPr>
        <w:t xml:space="preserve">emissions will be controlled by two cartridge dust collectors; EP01 will control </w:t>
      </w:r>
      <w:r w:rsidR="00A83DF5">
        <w:rPr>
          <w:rFonts w:ascii="Book Antiqua" w:hAnsi="Book Antiqua"/>
          <w:szCs w:val="22"/>
        </w:rPr>
        <w:t xml:space="preserve">PM generated during </w:t>
      </w:r>
      <w:r w:rsidR="000E0B5C">
        <w:rPr>
          <w:rFonts w:ascii="Book Antiqua" w:hAnsi="Book Antiqua"/>
          <w:szCs w:val="22"/>
        </w:rPr>
        <w:t xml:space="preserve">the transport of </w:t>
      </w:r>
      <w:r w:rsidR="000D1C85">
        <w:rPr>
          <w:rFonts w:ascii="Book Antiqua" w:hAnsi="Book Antiqua"/>
          <w:szCs w:val="22"/>
        </w:rPr>
        <w:t xml:space="preserve">the ground </w:t>
      </w:r>
      <w:r w:rsidR="000E0B5C">
        <w:rPr>
          <w:rFonts w:ascii="Book Antiqua" w:hAnsi="Book Antiqua"/>
          <w:szCs w:val="22"/>
        </w:rPr>
        <w:t xml:space="preserve">limestone to the silo and </w:t>
      </w:r>
      <w:r w:rsidR="000D1C85">
        <w:rPr>
          <w:rFonts w:ascii="Book Antiqua" w:hAnsi="Book Antiqua"/>
          <w:szCs w:val="22"/>
        </w:rPr>
        <w:t>during its storage,</w:t>
      </w:r>
      <w:r w:rsidR="000E0B5C">
        <w:rPr>
          <w:rFonts w:ascii="Book Antiqua" w:hAnsi="Book Antiqua"/>
          <w:szCs w:val="22"/>
        </w:rPr>
        <w:t xml:space="preserve"> and EP02 will control the </w:t>
      </w:r>
      <w:r w:rsidR="00A83DF5">
        <w:rPr>
          <w:rFonts w:ascii="Book Antiqua" w:hAnsi="Book Antiqua"/>
          <w:szCs w:val="22"/>
        </w:rPr>
        <w:t xml:space="preserve">PM </w:t>
      </w:r>
      <w:r w:rsidR="000E0B5C">
        <w:rPr>
          <w:rFonts w:ascii="Book Antiqua" w:hAnsi="Book Antiqua"/>
          <w:szCs w:val="22"/>
        </w:rPr>
        <w:t xml:space="preserve">discharge from the silo during the unloading </w:t>
      </w:r>
      <w:r w:rsidR="00A83DF5">
        <w:rPr>
          <w:rFonts w:ascii="Book Antiqua" w:hAnsi="Book Antiqua"/>
          <w:szCs w:val="22"/>
        </w:rPr>
        <w:t>of the ground limestone in</w:t>
      </w:r>
      <w:r w:rsidR="000E0B5C">
        <w:rPr>
          <w:rFonts w:ascii="Book Antiqua" w:hAnsi="Book Antiqua"/>
          <w:szCs w:val="22"/>
        </w:rPr>
        <w:t>to trucks.</w:t>
      </w:r>
    </w:p>
    <w:p w:rsidR="005063EE" w:rsidRDefault="005063EE" w:rsidP="005063EE">
      <w:pPr>
        <w:pStyle w:val="BodyText2"/>
        <w:rPr>
          <w:rFonts w:ascii="Book Antiqua" w:hAnsi="Book Antiqua"/>
          <w:szCs w:val="22"/>
        </w:rPr>
      </w:pPr>
      <w:r w:rsidRPr="00685970">
        <w:rPr>
          <w:rFonts w:ascii="Book Antiqua" w:hAnsi="Book Antiqua"/>
          <w:szCs w:val="22"/>
        </w:rPr>
        <w:t xml:space="preserve">Florida Rock Industries also proposes to tie into the existing </w:t>
      </w:r>
      <w:r>
        <w:rPr>
          <w:rFonts w:ascii="Book Antiqua" w:hAnsi="Book Antiqua"/>
          <w:szCs w:val="22"/>
        </w:rPr>
        <w:t xml:space="preserve">Kiln </w:t>
      </w:r>
      <w:r w:rsidRPr="00685970">
        <w:rPr>
          <w:rFonts w:ascii="Book Antiqua" w:hAnsi="Book Antiqua"/>
          <w:szCs w:val="22"/>
        </w:rPr>
        <w:t xml:space="preserve">ESP dust transport systems so that Kiln dust captured by the </w:t>
      </w:r>
      <w:r>
        <w:rPr>
          <w:rFonts w:ascii="Book Antiqua" w:hAnsi="Book Antiqua"/>
          <w:szCs w:val="22"/>
        </w:rPr>
        <w:t xml:space="preserve">Kiln </w:t>
      </w:r>
      <w:r w:rsidRPr="00685970">
        <w:rPr>
          <w:rFonts w:ascii="Book Antiqua" w:hAnsi="Book Antiqua"/>
          <w:szCs w:val="22"/>
        </w:rPr>
        <w:t>ESP</w:t>
      </w:r>
      <w:r>
        <w:rPr>
          <w:rFonts w:ascii="Book Antiqua" w:hAnsi="Book Antiqua"/>
          <w:szCs w:val="22"/>
        </w:rPr>
        <w:t>s</w:t>
      </w:r>
      <w:r w:rsidRPr="00685970">
        <w:rPr>
          <w:rFonts w:ascii="Book Antiqua" w:hAnsi="Book Antiqua"/>
          <w:szCs w:val="22"/>
        </w:rPr>
        <w:t xml:space="preserve"> can be transported to either of the existing Finish Mills in addition to the current system that allows for </w:t>
      </w:r>
      <w:r>
        <w:rPr>
          <w:rFonts w:ascii="Book Antiqua" w:hAnsi="Book Antiqua"/>
          <w:szCs w:val="22"/>
        </w:rPr>
        <w:t>transportation</w:t>
      </w:r>
      <w:r w:rsidRPr="00685970">
        <w:rPr>
          <w:rFonts w:ascii="Book Antiqua" w:hAnsi="Book Antiqua"/>
          <w:szCs w:val="22"/>
        </w:rPr>
        <w:t xml:space="preserve"> to </w:t>
      </w:r>
      <w:r>
        <w:rPr>
          <w:rFonts w:ascii="Book Antiqua" w:hAnsi="Book Antiqua"/>
          <w:szCs w:val="22"/>
        </w:rPr>
        <w:t xml:space="preserve">either of the </w:t>
      </w:r>
      <w:r w:rsidRPr="00685970">
        <w:rPr>
          <w:rFonts w:ascii="Book Antiqua" w:hAnsi="Book Antiqua"/>
          <w:szCs w:val="22"/>
        </w:rPr>
        <w:t xml:space="preserve">existing Kiln Systems.  </w:t>
      </w:r>
    </w:p>
    <w:p w:rsidR="005063EE" w:rsidRDefault="005063EE" w:rsidP="005063EE">
      <w:pPr>
        <w:pStyle w:val="BodyText2"/>
        <w:rPr>
          <w:rFonts w:ascii="Book Antiqua" w:hAnsi="Book Antiqua"/>
          <w:szCs w:val="22"/>
        </w:rPr>
      </w:pPr>
      <w:r>
        <w:rPr>
          <w:rFonts w:ascii="Book Antiqua" w:hAnsi="Book Antiqua"/>
          <w:szCs w:val="22"/>
        </w:rPr>
        <w:t xml:space="preserve">Ductwork will initially be installed at the discharge line of each Kiln’s ESP that will allow kiln dust to be sent to the Finish Mill #2 fringe surge bin.  From the fringe surge bin, the Kiln ESP dust will be added to ground cement that exits Finish Mill #2 as it enters the existing Finish Mill #2 air separator.  At a future date, Florida Rock will also construct ductwork so that the Kiln ESP dust from the fringe surge bin can also be added to ground cement that exits Finish Mill #1 as it enters the existing Finish Mill #1 air separator (EU 005, EP-03).  </w:t>
      </w:r>
    </w:p>
    <w:p w:rsidR="005063EE" w:rsidRPr="00685970" w:rsidRDefault="005063EE" w:rsidP="005063EE">
      <w:pPr>
        <w:pStyle w:val="BodyText2"/>
        <w:rPr>
          <w:rFonts w:ascii="Book Antiqua" w:hAnsi="Book Antiqua"/>
          <w:szCs w:val="22"/>
        </w:rPr>
      </w:pPr>
      <w:r>
        <w:rPr>
          <w:rFonts w:ascii="Book Antiqua" w:hAnsi="Book Antiqua"/>
          <w:szCs w:val="22"/>
        </w:rPr>
        <w:t xml:space="preserve">Kiln dust collected by Kiln #1 ESP will continue to be sent to either the Raw-Mill #1 Blend/Homogenizing Silo for storage or to the top of the </w:t>
      </w:r>
      <w:r w:rsidR="00541A01">
        <w:rPr>
          <w:rFonts w:ascii="Book Antiqua" w:hAnsi="Book Antiqua"/>
          <w:szCs w:val="22"/>
        </w:rPr>
        <w:t>Pre-heater</w:t>
      </w:r>
      <w:r>
        <w:rPr>
          <w:rFonts w:ascii="Book Antiqua" w:hAnsi="Book Antiqua"/>
          <w:szCs w:val="22"/>
        </w:rPr>
        <w:t xml:space="preserve"> Tower #1 where it joins incoming kiln-feed material.  Similarly, kiln dust collected by the Kiln #2 ESP will continue to be sent to either the Raw-Mill #2 Blend/Homogenizing Silo or the </w:t>
      </w:r>
      <w:r w:rsidR="00541A01">
        <w:rPr>
          <w:rFonts w:ascii="Book Antiqua" w:hAnsi="Book Antiqua"/>
          <w:szCs w:val="22"/>
        </w:rPr>
        <w:t>Pre-heater</w:t>
      </w:r>
      <w:r>
        <w:rPr>
          <w:rFonts w:ascii="Book Antiqua" w:hAnsi="Book Antiqua"/>
          <w:szCs w:val="22"/>
        </w:rPr>
        <w:t xml:space="preserve"> Tower #2. </w:t>
      </w:r>
    </w:p>
    <w:p w:rsidR="00ED1B7C" w:rsidRPr="00685970" w:rsidRDefault="00ED1B7C" w:rsidP="00ED1B7C">
      <w:pPr>
        <w:pStyle w:val="BodyText2"/>
        <w:numPr>
          <w:ilvl w:val="0"/>
          <w:numId w:val="0"/>
        </w:numPr>
        <w:jc w:val="left"/>
        <w:rPr>
          <w:rFonts w:ascii="Book Antiqua" w:hAnsi="Book Antiqua"/>
          <w:szCs w:val="22"/>
        </w:rPr>
      </w:pPr>
      <w:r w:rsidRPr="00685970">
        <w:rPr>
          <w:rFonts w:ascii="Book Antiqua" w:hAnsi="Book Antiqua"/>
          <w:szCs w:val="22"/>
        </w:rPr>
        <w:t xml:space="preserve">Particulate Matter emissions at </w:t>
      </w:r>
      <w:r>
        <w:rPr>
          <w:rFonts w:ascii="Book Antiqua" w:hAnsi="Book Antiqua"/>
          <w:szCs w:val="22"/>
        </w:rPr>
        <w:t>these routing points in the</w:t>
      </w:r>
      <w:r w:rsidRPr="00685970">
        <w:rPr>
          <w:rFonts w:ascii="Book Antiqua" w:hAnsi="Book Antiqua"/>
          <w:szCs w:val="22"/>
        </w:rPr>
        <w:t xml:space="preserve"> Finish Mills and Kiln Syst</w:t>
      </w:r>
      <w:r>
        <w:rPr>
          <w:rFonts w:ascii="Book Antiqua" w:hAnsi="Book Antiqua"/>
          <w:szCs w:val="22"/>
        </w:rPr>
        <w:t>e</w:t>
      </w:r>
      <w:r w:rsidRPr="00685970">
        <w:rPr>
          <w:rFonts w:ascii="Book Antiqua" w:hAnsi="Book Antiqua"/>
          <w:szCs w:val="22"/>
        </w:rPr>
        <w:t xml:space="preserve">ms </w:t>
      </w:r>
      <w:r>
        <w:rPr>
          <w:rFonts w:ascii="Book Antiqua" w:hAnsi="Book Antiqua"/>
          <w:szCs w:val="22"/>
        </w:rPr>
        <w:t xml:space="preserve">will continue to be </w:t>
      </w:r>
      <w:r w:rsidRPr="00685970">
        <w:rPr>
          <w:rFonts w:ascii="Book Antiqua" w:hAnsi="Book Antiqua"/>
          <w:szCs w:val="22"/>
        </w:rPr>
        <w:t xml:space="preserve">controlled by </w:t>
      </w:r>
      <w:r>
        <w:rPr>
          <w:rFonts w:ascii="Book Antiqua" w:hAnsi="Book Antiqua"/>
          <w:szCs w:val="22"/>
        </w:rPr>
        <w:t xml:space="preserve">the </w:t>
      </w:r>
      <w:r w:rsidRPr="00685970">
        <w:rPr>
          <w:rFonts w:ascii="Book Antiqua" w:hAnsi="Book Antiqua"/>
          <w:szCs w:val="22"/>
        </w:rPr>
        <w:t xml:space="preserve">existing baghouses.  </w:t>
      </w:r>
    </w:p>
    <w:p w:rsidR="00685970" w:rsidRPr="00685970" w:rsidRDefault="00327118" w:rsidP="0061716A">
      <w:pPr>
        <w:pStyle w:val="BodyText2"/>
        <w:numPr>
          <w:ilvl w:val="0"/>
          <w:numId w:val="0"/>
        </w:numPr>
        <w:jc w:val="left"/>
        <w:rPr>
          <w:rFonts w:ascii="Book Antiqua" w:hAnsi="Book Antiqua"/>
          <w:szCs w:val="22"/>
        </w:rPr>
      </w:pPr>
      <w:r>
        <w:rPr>
          <w:rFonts w:ascii="Book Antiqua" w:hAnsi="Book Antiqua"/>
          <w:szCs w:val="22"/>
        </w:rPr>
        <w:t xml:space="preserve">Florida Rock Industries states in the submitted application that the </w:t>
      </w:r>
      <w:r w:rsidR="005063EE">
        <w:rPr>
          <w:rFonts w:ascii="Book Antiqua" w:hAnsi="Book Antiqua"/>
          <w:szCs w:val="22"/>
        </w:rPr>
        <w:t>Kiln ESP dust</w:t>
      </w:r>
      <w:r>
        <w:rPr>
          <w:rFonts w:ascii="Book Antiqua" w:hAnsi="Book Antiqua"/>
          <w:szCs w:val="22"/>
        </w:rPr>
        <w:t xml:space="preserve"> transport tie-in will only re-direct the dust and not generate new quantities of dust.  </w:t>
      </w:r>
      <w:r w:rsidR="00685970" w:rsidRPr="00685970">
        <w:rPr>
          <w:rFonts w:ascii="Book Antiqua" w:hAnsi="Book Antiqua"/>
          <w:szCs w:val="22"/>
        </w:rPr>
        <w:t xml:space="preserve">The </w:t>
      </w:r>
      <w:r w:rsidR="00010499">
        <w:rPr>
          <w:rFonts w:ascii="Book Antiqua" w:hAnsi="Book Antiqua"/>
          <w:szCs w:val="22"/>
        </w:rPr>
        <w:t xml:space="preserve">tie-in </w:t>
      </w:r>
      <w:r w:rsidR="00685970" w:rsidRPr="00685970">
        <w:rPr>
          <w:rFonts w:ascii="Book Antiqua" w:hAnsi="Book Antiqua"/>
          <w:szCs w:val="22"/>
        </w:rPr>
        <w:t>will meet the 40 CFR 63 Subpart LLL definition of a Totally Enclosed Dust Transport System.</w:t>
      </w:r>
    </w:p>
    <w:p w:rsidR="00FA6F4E" w:rsidRDefault="001005AE" w:rsidP="00505817">
      <w:pPr>
        <w:pStyle w:val="BodyText2"/>
        <w:numPr>
          <w:ilvl w:val="0"/>
          <w:numId w:val="0"/>
        </w:numPr>
        <w:jc w:val="left"/>
        <w:rPr>
          <w:rFonts w:ascii="Book Antiqua" w:hAnsi="Book Antiqua"/>
          <w:szCs w:val="22"/>
        </w:rPr>
      </w:pPr>
      <w:r w:rsidRPr="0064682B">
        <w:rPr>
          <w:rFonts w:ascii="Book Antiqua" w:hAnsi="Book Antiqua"/>
          <w:szCs w:val="22"/>
        </w:rPr>
        <w:t>Pursuant to Rule 62-212.400, F.A.C.,</w:t>
      </w:r>
      <w:r w:rsidR="00E86E77">
        <w:rPr>
          <w:rFonts w:ascii="Book Antiqua" w:hAnsi="Book Antiqua"/>
          <w:szCs w:val="22"/>
        </w:rPr>
        <w:t xml:space="preserve"> Florida Rock Industries, Inc. </w:t>
      </w:r>
      <w:r w:rsidRPr="0064682B">
        <w:rPr>
          <w:rFonts w:ascii="Book Antiqua" w:hAnsi="Book Antiqua"/>
          <w:szCs w:val="22"/>
        </w:rPr>
        <w:t xml:space="preserve">provided information to show that the project will not exceed the significant emissions rates that require preconstruction review for the Prevention of Significant Deterioration (PSD) of Air Quality.  </w:t>
      </w:r>
    </w:p>
    <w:p w:rsidR="00E9423E" w:rsidRPr="00BB473B" w:rsidRDefault="00E9423E" w:rsidP="00E9423E">
      <w:pPr>
        <w:pStyle w:val="BodyText2"/>
        <w:numPr>
          <w:ilvl w:val="0"/>
          <w:numId w:val="0"/>
        </w:numPr>
        <w:jc w:val="left"/>
        <w:rPr>
          <w:rFonts w:ascii="Book Antiqua" w:hAnsi="Book Antiqua"/>
          <w:b/>
        </w:rPr>
      </w:pPr>
      <w:r w:rsidRPr="00BB473B">
        <w:rPr>
          <w:rFonts w:ascii="Book Antiqua" w:hAnsi="Book Antiqua"/>
          <w:b/>
          <w:szCs w:val="22"/>
        </w:rPr>
        <w:t xml:space="preserve">Proposed </w:t>
      </w:r>
      <w:r w:rsidR="00963ED0" w:rsidRPr="00BB473B">
        <w:rPr>
          <w:rFonts w:ascii="Book Antiqua" w:hAnsi="Book Antiqua"/>
          <w:b/>
          <w:szCs w:val="22"/>
        </w:rPr>
        <w:t>W</w:t>
      </w:r>
      <w:r w:rsidRPr="00BB473B">
        <w:rPr>
          <w:rFonts w:ascii="Book Antiqua" w:hAnsi="Book Antiqua"/>
          <w:b/>
          <w:szCs w:val="22"/>
        </w:rPr>
        <w:t>ork</w:t>
      </w:r>
    </w:p>
    <w:p w:rsidR="00E9423E" w:rsidRPr="00913CEB" w:rsidRDefault="002F730B" w:rsidP="00963ED0">
      <w:pPr>
        <w:suppressAutoHyphens/>
        <w:spacing w:after="120"/>
        <w:ind w:left="360"/>
        <w:rPr>
          <w:sz w:val="22"/>
          <w:szCs w:val="22"/>
        </w:rPr>
      </w:pPr>
      <w:r w:rsidRPr="00BB473B">
        <w:rPr>
          <w:rFonts w:ascii="Book Antiqua" w:hAnsi="Book Antiqua"/>
          <w:sz w:val="22"/>
          <w:szCs w:val="22"/>
        </w:rPr>
        <w:t xml:space="preserve">The permittee is authorized to conduct </w:t>
      </w:r>
      <w:r>
        <w:rPr>
          <w:rFonts w:ascii="Book Antiqua" w:hAnsi="Book Antiqua"/>
          <w:sz w:val="22"/>
          <w:szCs w:val="22"/>
        </w:rPr>
        <w:t>this project as follows:</w:t>
      </w:r>
    </w:p>
    <w:p w:rsidR="00205E8F" w:rsidRPr="00205E8F" w:rsidRDefault="00657BC4" w:rsidP="00205E8F">
      <w:pPr>
        <w:pStyle w:val="ListParagraph"/>
        <w:numPr>
          <w:ilvl w:val="0"/>
          <w:numId w:val="5"/>
        </w:numPr>
        <w:autoSpaceDE w:val="0"/>
        <w:autoSpaceDN w:val="0"/>
        <w:adjustRightInd w:val="0"/>
        <w:spacing w:after="120"/>
        <w:ind w:left="720"/>
        <w:rPr>
          <w:rFonts w:ascii="Book Antiqua" w:hAnsi="Book Antiqua"/>
          <w:sz w:val="22"/>
          <w:szCs w:val="22"/>
        </w:rPr>
      </w:pPr>
      <w:r w:rsidRPr="00205E8F">
        <w:rPr>
          <w:rFonts w:ascii="Book Antiqua" w:hAnsi="Book Antiqua"/>
          <w:sz w:val="22"/>
          <w:szCs w:val="22"/>
        </w:rPr>
        <w:t>New, two-way diverter val</w:t>
      </w:r>
      <w:r w:rsidR="00205E8F" w:rsidRPr="00205E8F">
        <w:rPr>
          <w:rFonts w:ascii="Book Antiqua" w:hAnsi="Book Antiqua"/>
          <w:sz w:val="22"/>
          <w:szCs w:val="22"/>
        </w:rPr>
        <w:t>v</w:t>
      </w:r>
      <w:r w:rsidRPr="00205E8F">
        <w:rPr>
          <w:rFonts w:ascii="Book Antiqua" w:hAnsi="Book Antiqua"/>
          <w:sz w:val="22"/>
          <w:szCs w:val="22"/>
        </w:rPr>
        <w:t>e in existing pipelin</w:t>
      </w:r>
      <w:r w:rsidR="00205E8F" w:rsidRPr="00205E8F">
        <w:rPr>
          <w:rFonts w:ascii="Book Antiqua" w:hAnsi="Book Antiqua"/>
          <w:sz w:val="22"/>
          <w:szCs w:val="22"/>
        </w:rPr>
        <w:t>e for pneumatic transfer to Finish Mill #2 Fringe Surge Bin, Pneumatic transfer pump, compressor, pipeline, etc., as described above</w:t>
      </w:r>
    </w:p>
    <w:p w:rsidR="000059CB" w:rsidRDefault="000059CB" w:rsidP="000059CB">
      <w:pPr>
        <w:rPr>
          <w:rFonts w:ascii="Book Antiqua" w:hAnsi="Book Antiqua"/>
          <w:b/>
          <w:bCs/>
        </w:rPr>
      </w:pPr>
    </w:p>
    <w:p w:rsidR="001C4E37" w:rsidRPr="00BB473B" w:rsidRDefault="001C4E37" w:rsidP="000059CB">
      <w:pPr>
        <w:rPr>
          <w:rFonts w:ascii="Book Antiqua" w:hAnsi="Book Antiqua"/>
          <w:b/>
          <w:bCs/>
        </w:rPr>
      </w:pPr>
      <w:r w:rsidRPr="00BB473B">
        <w:rPr>
          <w:rFonts w:ascii="Book Antiqua" w:hAnsi="Book Antiqua"/>
          <w:b/>
          <w:bCs/>
        </w:rPr>
        <w:t>Processing Schedule</w:t>
      </w:r>
    </w:p>
    <w:p w:rsidR="001C4E37" w:rsidRDefault="004B5B4B" w:rsidP="00BA5A01">
      <w:pPr>
        <w:pStyle w:val="BodyText"/>
        <w:numPr>
          <w:ilvl w:val="12"/>
          <w:numId w:val="0"/>
        </w:numPr>
        <w:tabs>
          <w:tab w:val="left" w:pos="1440"/>
        </w:tabs>
        <w:spacing w:after="60"/>
        <w:rPr>
          <w:rFonts w:ascii="Book Antiqua" w:hAnsi="Book Antiqua"/>
          <w:sz w:val="22"/>
        </w:rPr>
      </w:pPr>
      <w:r>
        <w:rPr>
          <w:rFonts w:ascii="Book Antiqua" w:hAnsi="Book Antiqua"/>
          <w:sz w:val="22"/>
        </w:rPr>
        <w:t>02</w:t>
      </w:r>
      <w:r w:rsidR="008D1F19">
        <w:rPr>
          <w:rFonts w:ascii="Book Antiqua" w:hAnsi="Book Antiqua"/>
          <w:sz w:val="22"/>
        </w:rPr>
        <w:t>/</w:t>
      </w:r>
      <w:r>
        <w:rPr>
          <w:rFonts w:ascii="Book Antiqua" w:hAnsi="Book Antiqua"/>
          <w:sz w:val="22"/>
        </w:rPr>
        <w:t>01</w:t>
      </w:r>
      <w:r w:rsidR="008D1F19">
        <w:rPr>
          <w:rFonts w:ascii="Book Antiqua" w:hAnsi="Book Antiqua"/>
          <w:sz w:val="22"/>
        </w:rPr>
        <w:t>/201</w:t>
      </w:r>
      <w:r>
        <w:rPr>
          <w:rFonts w:ascii="Book Antiqua" w:hAnsi="Book Antiqua"/>
          <w:sz w:val="22"/>
        </w:rPr>
        <w:t>2</w:t>
      </w:r>
      <w:r w:rsidR="00BA5A01" w:rsidRPr="00BB473B">
        <w:rPr>
          <w:rFonts w:ascii="Book Antiqua" w:hAnsi="Book Antiqua"/>
          <w:sz w:val="22"/>
        </w:rPr>
        <w:tab/>
      </w:r>
      <w:r w:rsidR="00AC7214">
        <w:rPr>
          <w:rFonts w:ascii="Book Antiqua" w:hAnsi="Book Antiqua"/>
          <w:sz w:val="22"/>
        </w:rPr>
        <w:tab/>
      </w:r>
      <w:r w:rsidR="00BE303A" w:rsidRPr="00BB473B">
        <w:rPr>
          <w:rFonts w:ascii="Book Antiqua" w:hAnsi="Book Antiqua"/>
          <w:sz w:val="22"/>
        </w:rPr>
        <w:t>Department r</w:t>
      </w:r>
      <w:r w:rsidR="001C4E37" w:rsidRPr="00BB473B">
        <w:rPr>
          <w:rFonts w:ascii="Book Antiqua" w:hAnsi="Book Antiqua"/>
          <w:sz w:val="22"/>
        </w:rPr>
        <w:t xml:space="preserve">eceived the application for a minor source air pollution construction </w:t>
      </w:r>
      <w:r w:rsidR="00AC7214">
        <w:rPr>
          <w:rFonts w:ascii="Book Antiqua" w:hAnsi="Book Antiqua"/>
          <w:sz w:val="22"/>
        </w:rPr>
        <w:tab/>
      </w:r>
      <w:r w:rsidR="00AC7214">
        <w:rPr>
          <w:rFonts w:ascii="Book Antiqua" w:hAnsi="Book Antiqua"/>
          <w:sz w:val="22"/>
        </w:rPr>
        <w:tab/>
      </w:r>
      <w:r w:rsidR="00AC7214">
        <w:rPr>
          <w:rFonts w:ascii="Book Antiqua" w:hAnsi="Book Antiqua"/>
          <w:sz w:val="22"/>
        </w:rPr>
        <w:tab/>
      </w:r>
      <w:r w:rsidR="001C4E37" w:rsidRPr="00BB473B">
        <w:rPr>
          <w:rFonts w:ascii="Book Antiqua" w:hAnsi="Book Antiqua"/>
          <w:sz w:val="22"/>
        </w:rPr>
        <w:t>permit.</w:t>
      </w:r>
    </w:p>
    <w:p w:rsidR="00F02FDD" w:rsidRPr="00BB473B" w:rsidRDefault="00F02FDD" w:rsidP="00BA5A01">
      <w:pPr>
        <w:pStyle w:val="BodyText"/>
        <w:numPr>
          <w:ilvl w:val="12"/>
          <w:numId w:val="0"/>
        </w:numPr>
        <w:tabs>
          <w:tab w:val="left" w:pos="1440"/>
        </w:tabs>
        <w:spacing w:after="60"/>
        <w:rPr>
          <w:rFonts w:ascii="Book Antiqua" w:hAnsi="Book Antiqua"/>
          <w:sz w:val="22"/>
        </w:rPr>
      </w:pPr>
      <w:r>
        <w:rPr>
          <w:rFonts w:ascii="Book Antiqua" w:hAnsi="Book Antiqua"/>
          <w:sz w:val="22"/>
        </w:rPr>
        <w:t>03/07/2012</w:t>
      </w:r>
      <w:r>
        <w:rPr>
          <w:rFonts w:ascii="Book Antiqua" w:hAnsi="Book Antiqua"/>
          <w:sz w:val="22"/>
        </w:rPr>
        <w:tab/>
      </w:r>
      <w:r>
        <w:rPr>
          <w:rFonts w:ascii="Book Antiqua" w:hAnsi="Book Antiqua"/>
          <w:sz w:val="22"/>
        </w:rPr>
        <w:tab/>
        <w:t>Department received additional information.</w:t>
      </w:r>
    </w:p>
    <w:p w:rsidR="000059CB" w:rsidRDefault="008D1F19" w:rsidP="000059CB">
      <w:pPr>
        <w:pStyle w:val="BodyText"/>
        <w:numPr>
          <w:ilvl w:val="12"/>
          <w:numId w:val="0"/>
        </w:numPr>
        <w:rPr>
          <w:rFonts w:ascii="Book Antiqua" w:hAnsi="Book Antiqua"/>
          <w:sz w:val="22"/>
        </w:rPr>
      </w:pPr>
      <w:r w:rsidRPr="006F5D91">
        <w:rPr>
          <w:rFonts w:ascii="Book Antiqua" w:hAnsi="Book Antiqua"/>
          <w:sz w:val="22"/>
        </w:rPr>
        <w:t>0</w:t>
      </w:r>
      <w:r w:rsidR="006F5D91" w:rsidRPr="006F5D91">
        <w:rPr>
          <w:rFonts w:ascii="Book Antiqua" w:hAnsi="Book Antiqua"/>
          <w:sz w:val="22"/>
        </w:rPr>
        <w:t>3</w:t>
      </w:r>
      <w:r w:rsidR="00735153" w:rsidRPr="006F5D91">
        <w:rPr>
          <w:rFonts w:ascii="Book Antiqua" w:hAnsi="Book Antiqua"/>
          <w:sz w:val="22"/>
        </w:rPr>
        <w:t>/</w:t>
      </w:r>
      <w:r w:rsidR="001005AE" w:rsidRPr="006F5D91">
        <w:rPr>
          <w:rFonts w:ascii="Book Antiqua" w:hAnsi="Book Antiqua"/>
          <w:sz w:val="22"/>
        </w:rPr>
        <w:t>1</w:t>
      </w:r>
      <w:r w:rsidR="006F5D91" w:rsidRPr="006F5D91">
        <w:rPr>
          <w:rFonts w:ascii="Book Antiqua" w:hAnsi="Book Antiqua"/>
          <w:sz w:val="22"/>
        </w:rPr>
        <w:t>9</w:t>
      </w:r>
      <w:r w:rsidR="00335879" w:rsidRPr="006F5D91">
        <w:rPr>
          <w:rFonts w:ascii="Book Antiqua" w:hAnsi="Book Antiqua"/>
          <w:sz w:val="22"/>
        </w:rPr>
        <w:t>/20</w:t>
      </w:r>
      <w:r w:rsidR="001005AE" w:rsidRPr="006F5D91">
        <w:rPr>
          <w:rFonts w:ascii="Book Antiqua" w:hAnsi="Book Antiqua"/>
          <w:sz w:val="22"/>
        </w:rPr>
        <w:t>1</w:t>
      </w:r>
      <w:r w:rsidR="004B5B4B" w:rsidRPr="006F5D91">
        <w:rPr>
          <w:rFonts w:ascii="Book Antiqua" w:hAnsi="Book Antiqua"/>
          <w:sz w:val="22"/>
        </w:rPr>
        <w:t>2</w:t>
      </w:r>
      <w:r w:rsidR="00335879" w:rsidRPr="00BB473B">
        <w:rPr>
          <w:rFonts w:ascii="Book Antiqua" w:hAnsi="Book Antiqua"/>
          <w:sz w:val="22"/>
        </w:rPr>
        <w:tab/>
      </w:r>
      <w:r w:rsidR="001C4E37" w:rsidRPr="00BB473B">
        <w:rPr>
          <w:rFonts w:ascii="Book Antiqua" w:hAnsi="Book Antiqua"/>
          <w:sz w:val="22"/>
        </w:rPr>
        <w:tab/>
        <w:t>Department received additional information; application complete.</w:t>
      </w:r>
      <w:r w:rsidR="000059CB">
        <w:rPr>
          <w:rFonts w:ascii="Book Antiqua" w:hAnsi="Book Antiqua"/>
          <w:sz w:val="22"/>
        </w:rPr>
        <w:br w:type="page"/>
      </w:r>
    </w:p>
    <w:p w:rsidR="001C4E37" w:rsidRDefault="001C4E37" w:rsidP="001C4E37">
      <w:pPr>
        <w:pStyle w:val="BodyText"/>
        <w:numPr>
          <w:ilvl w:val="12"/>
          <w:numId w:val="0"/>
        </w:numPr>
        <w:rPr>
          <w:rFonts w:ascii="Book Antiqua" w:hAnsi="Book Antiqua"/>
          <w:sz w:val="22"/>
        </w:rPr>
      </w:pPr>
    </w:p>
    <w:p w:rsidR="00C95EF5" w:rsidRDefault="00C95EF5">
      <w:pPr>
        <w:spacing w:before="120" w:after="120"/>
        <w:rPr>
          <w:rFonts w:ascii="Book Antiqua" w:hAnsi="Book Antiqua"/>
          <w:b/>
          <w:caps/>
          <w:sz w:val="22"/>
        </w:rPr>
      </w:pPr>
    </w:p>
    <w:p w:rsidR="00193F10" w:rsidRPr="00BB473B" w:rsidRDefault="00193F10">
      <w:pPr>
        <w:spacing w:before="120" w:after="120"/>
        <w:rPr>
          <w:rFonts w:ascii="Book Antiqua" w:hAnsi="Book Antiqua"/>
          <w:b/>
          <w:caps/>
          <w:sz w:val="22"/>
        </w:rPr>
      </w:pPr>
      <w:r w:rsidRPr="00BB473B">
        <w:rPr>
          <w:rFonts w:ascii="Book Antiqua" w:hAnsi="Book Antiqua"/>
          <w:b/>
          <w:caps/>
          <w:sz w:val="22"/>
        </w:rPr>
        <w:t xml:space="preserve">2.  </w:t>
      </w:r>
      <w:r w:rsidR="00D51D78" w:rsidRPr="00BB473B">
        <w:rPr>
          <w:rFonts w:ascii="Book Antiqua" w:hAnsi="Book Antiqua"/>
          <w:b/>
          <w:caps/>
          <w:sz w:val="22"/>
        </w:rPr>
        <w:t>PSD Applicability</w:t>
      </w:r>
    </w:p>
    <w:p w:rsidR="00D51D78" w:rsidRPr="00BB473B" w:rsidRDefault="00D51D78" w:rsidP="00D51D78">
      <w:pPr>
        <w:pStyle w:val="BodyText"/>
        <w:rPr>
          <w:rFonts w:ascii="Book Antiqua" w:hAnsi="Book Antiqua"/>
          <w:b/>
          <w:sz w:val="22"/>
        </w:rPr>
      </w:pPr>
      <w:r w:rsidRPr="00BB473B">
        <w:rPr>
          <w:rFonts w:ascii="Book Antiqua" w:hAnsi="Book Antiqua"/>
          <w:b/>
          <w:sz w:val="22"/>
        </w:rPr>
        <w:t>General PSD Applicability</w:t>
      </w:r>
    </w:p>
    <w:p w:rsidR="00E84B3B" w:rsidRPr="00BB473B" w:rsidRDefault="00D51D78" w:rsidP="00D51D78">
      <w:pPr>
        <w:pStyle w:val="BodyText"/>
        <w:rPr>
          <w:rFonts w:ascii="Book Antiqua" w:hAnsi="Book Antiqua"/>
          <w:sz w:val="22"/>
        </w:rPr>
      </w:pPr>
      <w:r w:rsidRPr="00BB473B">
        <w:rPr>
          <w:rFonts w:ascii="Book Antiqua" w:hAnsi="Book Antiqua"/>
          <w:sz w:val="22"/>
        </w:rPr>
        <w:t xml:space="preserve">The Department regulates major stationary sources of air pollution in accordance with </w:t>
      </w:r>
      <w:smartTag w:uri="urn:schemas-microsoft-com:office:smarttags" w:element="place">
        <w:smartTag w:uri="urn:schemas-microsoft-com:office:smarttags" w:element="State">
          <w:r w:rsidRPr="00BB473B">
            <w:rPr>
              <w:rFonts w:ascii="Book Antiqua" w:hAnsi="Book Antiqua"/>
              <w:sz w:val="22"/>
            </w:rPr>
            <w:t>Florida</w:t>
          </w:r>
        </w:smartTag>
      </w:smartTag>
      <w:r w:rsidRPr="00BB473B">
        <w:rPr>
          <w:rFonts w:ascii="Book Antiqua" w:hAnsi="Book Antiqua"/>
          <w:sz w:val="22"/>
        </w:rPr>
        <w:t>’s PSD preconstruction review program as defined in Rule 62-212.400, F.A.C.  A PSD applicability review is required in areas currently in attainment with the state and federal AAQS or areas otherwise designated as “unclassifiable”.  A facility is considered a major stationary source with respect to PSD if it emits or has the potential to emit:</w:t>
      </w:r>
      <w:r w:rsidR="004414F2" w:rsidRPr="00BB473B">
        <w:rPr>
          <w:rFonts w:ascii="Book Antiqua" w:hAnsi="Book Antiqua"/>
          <w:sz w:val="22"/>
        </w:rPr>
        <w:t xml:space="preserve">  </w:t>
      </w:r>
      <w:r w:rsidR="002A28C2" w:rsidRPr="00BB473B">
        <w:rPr>
          <w:rFonts w:ascii="Book Antiqua" w:hAnsi="Book Antiqua"/>
          <w:sz w:val="22"/>
        </w:rPr>
        <w:t xml:space="preserve">5 tons per year or more of lead; </w:t>
      </w:r>
      <w:r w:rsidRPr="00BB473B">
        <w:rPr>
          <w:rFonts w:ascii="Book Antiqua" w:hAnsi="Book Antiqua"/>
          <w:sz w:val="22"/>
        </w:rPr>
        <w:t>250 tons per year or more</w:t>
      </w:r>
      <w:r w:rsidR="004414F2" w:rsidRPr="00BB473B">
        <w:rPr>
          <w:rFonts w:ascii="Book Antiqua" w:hAnsi="Book Antiqua"/>
          <w:sz w:val="22"/>
        </w:rPr>
        <w:t xml:space="preserve"> of any regulated air pollutant;</w:t>
      </w:r>
      <w:r w:rsidRPr="00BB473B">
        <w:rPr>
          <w:rFonts w:ascii="Book Antiqua" w:hAnsi="Book Antiqua"/>
          <w:sz w:val="22"/>
        </w:rPr>
        <w:t xml:space="preserve"> </w:t>
      </w:r>
      <w:r w:rsidR="002A28C2" w:rsidRPr="00BB473B">
        <w:rPr>
          <w:rFonts w:ascii="Book Antiqua" w:hAnsi="Book Antiqua"/>
          <w:sz w:val="22"/>
        </w:rPr>
        <w:t xml:space="preserve">or </w:t>
      </w:r>
      <w:r w:rsidRPr="00BB473B">
        <w:rPr>
          <w:rFonts w:ascii="Book Antiqua" w:hAnsi="Book Antiqua"/>
          <w:sz w:val="22"/>
        </w:rPr>
        <w:t>100 tons per year or more of any regulated air pollutant and the facili</w:t>
      </w:r>
      <w:r w:rsidR="00A938D5" w:rsidRPr="00BB473B">
        <w:rPr>
          <w:rFonts w:ascii="Book Antiqua" w:hAnsi="Book Antiqua"/>
          <w:sz w:val="22"/>
        </w:rPr>
        <w:t>ty belongs to one of the 28 PSD-</w:t>
      </w:r>
      <w:r w:rsidRPr="00BB473B">
        <w:rPr>
          <w:rFonts w:ascii="Book Antiqua" w:hAnsi="Book Antiqua"/>
          <w:sz w:val="22"/>
        </w:rPr>
        <w:t xml:space="preserve">major facility categories </w:t>
      </w:r>
      <w:r w:rsidR="002A28C2" w:rsidRPr="00BB473B">
        <w:rPr>
          <w:rFonts w:ascii="Book Antiqua" w:hAnsi="Book Antiqua"/>
          <w:sz w:val="22"/>
        </w:rPr>
        <w:t>(</w:t>
      </w:r>
      <w:r w:rsidR="002A28C2" w:rsidRPr="00BB473B">
        <w:rPr>
          <w:rFonts w:ascii="Book Antiqua" w:hAnsi="Book Antiqua"/>
          <w:sz w:val="22"/>
          <w:szCs w:val="22"/>
        </w:rPr>
        <w:t xml:space="preserve">fossil fuel-fired steam electric plants of more than 250 million British thermal units per hour heat input, coal cleaning plants (with thermal dryers), </w:t>
      </w:r>
      <w:r w:rsidR="002F0E6E" w:rsidRPr="00BB473B">
        <w:rPr>
          <w:rFonts w:ascii="Book Antiqua" w:hAnsi="Book Antiqua"/>
          <w:sz w:val="22"/>
          <w:szCs w:val="22"/>
        </w:rPr>
        <w:t>Kraft</w:t>
      </w:r>
      <w:r w:rsidR="002A28C2" w:rsidRPr="00BB473B">
        <w:rPr>
          <w:rFonts w:ascii="Book Antiqua" w:hAnsi="Book Antiqua"/>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r w:rsidR="002A28C2" w:rsidRPr="00BB473B">
        <w:rPr>
          <w:rFonts w:ascii="Book Antiqua" w:hAnsi="Book Antiqua"/>
          <w:sz w:val="22"/>
        </w:rPr>
        <w:t>)</w:t>
      </w:r>
      <w:r w:rsidRPr="00BB473B">
        <w:rPr>
          <w:rFonts w:ascii="Book Antiqua" w:hAnsi="Book Antiqua"/>
          <w:sz w:val="22"/>
        </w:rPr>
        <w:t>.</w:t>
      </w:r>
      <w:r w:rsidR="004414F2" w:rsidRPr="00BB473B">
        <w:rPr>
          <w:rFonts w:ascii="Book Antiqua" w:hAnsi="Book Antiqua"/>
          <w:sz w:val="22"/>
        </w:rPr>
        <w:t xml:space="preserve">  </w:t>
      </w:r>
      <w:r w:rsidR="003858DE" w:rsidRPr="00BB473B">
        <w:rPr>
          <w:rFonts w:ascii="Book Antiqua" w:hAnsi="Book Antiqua"/>
          <w:sz w:val="22"/>
        </w:rPr>
        <w:t>Projects at</w:t>
      </w:r>
      <w:r w:rsidR="00E84B3B" w:rsidRPr="00BB473B">
        <w:rPr>
          <w:rFonts w:ascii="Book Antiqua" w:hAnsi="Book Antiqua"/>
          <w:sz w:val="22"/>
        </w:rPr>
        <w:t xml:space="preserve"> existing</w:t>
      </w:r>
      <w:r w:rsidR="004414F2" w:rsidRPr="00BB473B">
        <w:rPr>
          <w:rFonts w:ascii="Book Antiqua" w:hAnsi="Book Antiqua"/>
          <w:sz w:val="22"/>
        </w:rPr>
        <w:t xml:space="preserve"> </w:t>
      </w:r>
      <w:r w:rsidR="00E84B3B" w:rsidRPr="00BB473B">
        <w:rPr>
          <w:rFonts w:ascii="Book Antiqua" w:hAnsi="Book Antiqua"/>
          <w:sz w:val="22"/>
        </w:rPr>
        <w:t xml:space="preserve">or </w:t>
      </w:r>
      <w:r w:rsidR="003858DE" w:rsidRPr="00BB473B">
        <w:rPr>
          <w:rFonts w:ascii="Book Antiqua" w:hAnsi="Book Antiqua"/>
          <w:sz w:val="22"/>
        </w:rPr>
        <w:t xml:space="preserve">new major stationary sources are subject to PSD preconstruction review.  In addition, </w:t>
      </w:r>
      <w:r w:rsidR="00362B27" w:rsidRPr="00BB473B">
        <w:rPr>
          <w:rFonts w:ascii="Book Antiqua" w:hAnsi="Book Antiqua"/>
          <w:sz w:val="22"/>
        </w:rPr>
        <w:t xml:space="preserve">proposed projects at existing minor sources are subject to PSD preconstruction review </w:t>
      </w:r>
      <w:r w:rsidR="003858DE" w:rsidRPr="00BB473B">
        <w:rPr>
          <w:rFonts w:ascii="Book Antiqua" w:hAnsi="Book Antiqua"/>
          <w:sz w:val="22"/>
        </w:rPr>
        <w:t>if</w:t>
      </w:r>
      <w:r w:rsidR="00362B27" w:rsidRPr="00BB473B">
        <w:rPr>
          <w:rFonts w:ascii="Book Antiqua" w:hAnsi="Book Antiqua"/>
          <w:sz w:val="22"/>
        </w:rPr>
        <w:t xml:space="preserve"> potential emissions </w:t>
      </w:r>
      <w:r w:rsidR="00362B27" w:rsidRPr="00BB473B">
        <w:rPr>
          <w:rFonts w:ascii="Book Antiqua" w:hAnsi="Book Antiqua"/>
          <w:i/>
          <w:sz w:val="22"/>
        </w:rPr>
        <w:t>from</w:t>
      </w:r>
      <w:r w:rsidR="003858DE" w:rsidRPr="00BB473B">
        <w:rPr>
          <w:rFonts w:ascii="Book Antiqua" w:hAnsi="Book Antiqua"/>
          <w:i/>
          <w:sz w:val="22"/>
        </w:rPr>
        <w:t xml:space="preserve"> </w:t>
      </w:r>
      <w:r w:rsidR="00362B27" w:rsidRPr="00BB473B">
        <w:rPr>
          <w:rFonts w:ascii="Book Antiqua" w:hAnsi="Book Antiqua"/>
          <w:i/>
          <w:sz w:val="22"/>
        </w:rPr>
        <w:t>the proposed project</w:t>
      </w:r>
      <w:r w:rsidR="003858DE" w:rsidRPr="00BB473B">
        <w:rPr>
          <w:rFonts w:ascii="Book Antiqua" w:hAnsi="Book Antiqua"/>
          <w:sz w:val="22"/>
        </w:rPr>
        <w:t xml:space="preserve"> will exceed the </w:t>
      </w:r>
      <w:r w:rsidR="00362B27" w:rsidRPr="00BB473B">
        <w:rPr>
          <w:rFonts w:ascii="Book Antiqua" w:hAnsi="Book Antiqua"/>
          <w:sz w:val="22"/>
        </w:rPr>
        <w:t xml:space="preserve">PSD </w:t>
      </w:r>
      <w:r w:rsidR="003858DE" w:rsidRPr="00BB473B">
        <w:rPr>
          <w:rFonts w:ascii="Book Antiqua" w:hAnsi="Book Antiqua"/>
          <w:sz w:val="22"/>
        </w:rPr>
        <w:t>major stationary source thres</w:t>
      </w:r>
      <w:r w:rsidR="00362B27" w:rsidRPr="00BB473B">
        <w:rPr>
          <w:rFonts w:ascii="Book Antiqua" w:hAnsi="Book Antiqua"/>
          <w:sz w:val="22"/>
        </w:rPr>
        <w:t>holds.</w:t>
      </w:r>
    </w:p>
    <w:p w:rsidR="0065214A" w:rsidRDefault="00362B27" w:rsidP="0065214A">
      <w:pPr>
        <w:pStyle w:val="BodyText"/>
        <w:rPr>
          <w:rFonts w:ascii="Book Antiqua" w:hAnsi="Book Antiqua"/>
          <w:sz w:val="22"/>
        </w:rPr>
      </w:pPr>
      <w:r w:rsidRPr="00BB473B">
        <w:rPr>
          <w:rFonts w:ascii="Book Antiqua" w:hAnsi="Book Antiqua"/>
          <w:sz w:val="22"/>
        </w:rPr>
        <w:t xml:space="preserve">Once a project becomes subject to </w:t>
      </w:r>
      <w:r w:rsidR="00E84B3B" w:rsidRPr="00BB473B">
        <w:rPr>
          <w:rFonts w:ascii="Book Antiqua" w:hAnsi="Book Antiqua"/>
          <w:sz w:val="22"/>
        </w:rPr>
        <w:t xml:space="preserve">PSD </w:t>
      </w:r>
      <w:r w:rsidRPr="00BB473B">
        <w:rPr>
          <w:rFonts w:ascii="Book Antiqua" w:hAnsi="Book Antiqua"/>
          <w:sz w:val="22"/>
        </w:rPr>
        <w:t xml:space="preserve">preconstruction </w:t>
      </w:r>
      <w:r w:rsidR="00E84B3B" w:rsidRPr="00BB473B">
        <w:rPr>
          <w:rFonts w:ascii="Book Antiqua" w:hAnsi="Book Antiqua"/>
          <w:sz w:val="22"/>
        </w:rPr>
        <w:t xml:space="preserve">review, </w:t>
      </w:r>
      <w:r w:rsidR="004414F2" w:rsidRPr="00BB473B">
        <w:rPr>
          <w:rFonts w:ascii="Book Antiqua" w:hAnsi="Book Antiqua"/>
          <w:sz w:val="22"/>
        </w:rPr>
        <w:t xml:space="preserve">each </w:t>
      </w:r>
      <w:r w:rsidR="00E84B3B" w:rsidRPr="00BB473B">
        <w:rPr>
          <w:rFonts w:ascii="Book Antiqua" w:hAnsi="Book Antiqua"/>
          <w:sz w:val="22"/>
        </w:rPr>
        <w:t>PSD</w:t>
      </w:r>
      <w:r w:rsidR="004414F2" w:rsidRPr="00BB473B">
        <w:rPr>
          <w:rFonts w:ascii="Book Antiqua" w:hAnsi="Book Antiqua"/>
          <w:sz w:val="22"/>
        </w:rPr>
        <w:t xml:space="preserve"> pollutant is reviewed for PSD applicability based on emissions thresholds known as the “significant emission rates” defined in Rule </w:t>
      </w:r>
      <w:r w:rsidR="0065214A" w:rsidRPr="00BB473B">
        <w:rPr>
          <w:rFonts w:ascii="Book Antiqua" w:hAnsi="Book Antiqua"/>
          <w:sz w:val="22"/>
        </w:rPr>
        <w:t xml:space="preserve">62-210.200, F.A.C. for the following pollutants:  </w:t>
      </w:r>
      <w:r w:rsidR="0065214A" w:rsidRPr="00BB473B">
        <w:rPr>
          <w:rFonts w:ascii="Book Antiqua" w:hAnsi="Book Antiqua"/>
          <w:sz w:val="22"/>
          <w:szCs w:val="22"/>
        </w:rPr>
        <w:t>carbon monoxide (CO); nitrogen oxides (NO</w:t>
      </w:r>
      <w:r w:rsidR="0065214A" w:rsidRPr="00BB473B">
        <w:rPr>
          <w:rFonts w:ascii="Book Antiqua" w:hAnsi="Book Antiqua"/>
          <w:sz w:val="22"/>
          <w:szCs w:val="22"/>
          <w:vertAlign w:val="subscript"/>
        </w:rPr>
        <w:t>X</w:t>
      </w:r>
      <w:r w:rsidR="0065214A" w:rsidRPr="00BB473B">
        <w:rPr>
          <w:rFonts w:ascii="Book Antiqua" w:hAnsi="Book Antiqua"/>
          <w:sz w:val="22"/>
          <w:szCs w:val="22"/>
        </w:rPr>
        <w:t>); sulfur dioxide (SO</w:t>
      </w:r>
      <w:r w:rsidR="0065214A" w:rsidRPr="00BB473B">
        <w:rPr>
          <w:rFonts w:ascii="Book Antiqua" w:hAnsi="Book Antiqua"/>
          <w:sz w:val="22"/>
          <w:szCs w:val="22"/>
          <w:vertAlign w:val="subscript"/>
        </w:rPr>
        <w:t>2</w:t>
      </w:r>
      <w:r w:rsidR="0065214A" w:rsidRPr="00BB473B">
        <w:rPr>
          <w:rFonts w:ascii="Book Antiqua" w:hAnsi="Book Antiqua"/>
          <w:sz w:val="22"/>
          <w:szCs w:val="22"/>
        </w:rPr>
        <w:t>); particulate matter (PM); particulate matter with a mean particle diameter of 10 microns or less (PM</w:t>
      </w:r>
      <w:r w:rsidR="0065214A" w:rsidRPr="00BB473B">
        <w:rPr>
          <w:rFonts w:ascii="Book Antiqua" w:hAnsi="Book Antiqua"/>
          <w:sz w:val="22"/>
          <w:szCs w:val="22"/>
          <w:vertAlign w:val="subscript"/>
        </w:rPr>
        <w:t>10</w:t>
      </w:r>
      <w:r w:rsidR="0065214A" w:rsidRPr="00BB473B">
        <w:rPr>
          <w:rFonts w:ascii="Book Antiqua" w:hAnsi="Book Antiqua"/>
          <w:sz w:val="22"/>
          <w:szCs w:val="22"/>
        </w:rPr>
        <w:t>); volatile organic compounds (VOC); lead (Pb); Fluorides (F); sulfuric acid mist (SAM); hydrogen sulfide (H</w:t>
      </w:r>
      <w:r w:rsidR="0065214A" w:rsidRPr="00BB473B">
        <w:rPr>
          <w:rFonts w:ascii="Book Antiqua" w:hAnsi="Book Antiqua"/>
          <w:sz w:val="22"/>
          <w:szCs w:val="22"/>
          <w:vertAlign w:val="subscript"/>
        </w:rPr>
        <w:t>2</w:t>
      </w:r>
      <w:r w:rsidR="0065214A" w:rsidRPr="00BB473B">
        <w:rPr>
          <w:rFonts w:ascii="Book Antiqua" w:hAnsi="Book Antiqua"/>
          <w:sz w:val="22"/>
          <w:szCs w:val="22"/>
        </w:rPr>
        <w:t>S); total reduced sulfur (TRS), including H</w:t>
      </w:r>
      <w:r w:rsidR="0065214A" w:rsidRPr="00BB473B">
        <w:rPr>
          <w:rFonts w:ascii="Book Antiqua" w:hAnsi="Book Antiqua"/>
          <w:sz w:val="22"/>
          <w:szCs w:val="22"/>
          <w:vertAlign w:val="subscript"/>
        </w:rPr>
        <w:t>2</w:t>
      </w:r>
      <w:r w:rsidR="0065214A" w:rsidRPr="00BB473B">
        <w:rPr>
          <w:rFonts w:ascii="Book Antiqua" w:hAnsi="Book Antiqua"/>
          <w:sz w:val="22"/>
          <w:szCs w:val="22"/>
        </w:rPr>
        <w:t>S; reduced sulfur compounds, including H</w:t>
      </w:r>
      <w:r w:rsidR="0065214A" w:rsidRPr="00BB473B">
        <w:rPr>
          <w:rFonts w:ascii="Book Antiqua" w:hAnsi="Book Antiqua"/>
          <w:sz w:val="22"/>
          <w:szCs w:val="22"/>
          <w:vertAlign w:val="subscript"/>
        </w:rPr>
        <w:t>2</w:t>
      </w:r>
      <w:r w:rsidR="0065214A" w:rsidRPr="00BB473B">
        <w:rPr>
          <w:rFonts w:ascii="Book Antiqua" w:hAnsi="Book Antiqua"/>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0065214A" w:rsidRPr="00BB473B">
        <w:rPr>
          <w:rFonts w:ascii="Book Antiqua" w:hAnsi="Book Antiqua"/>
          <w:sz w:val="22"/>
          <w:szCs w:val="22"/>
          <w:vertAlign w:val="subscript"/>
        </w:rPr>
        <w:t>2</w:t>
      </w:r>
      <w:r w:rsidR="0065214A" w:rsidRPr="00BB473B">
        <w:rPr>
          <w:rFonts w:ascii="Book Antiqua" w:hAnsi="Book Antiqua"/>
          <w:sz w:val="22"/>
          <w:szCs w:val="22"/>
        </w:rPr>
        <w:t xml:space="preserve"> and hydrogen chloride (HCl); municipal solid waste landfills emissions measured as nonmethane organic compounds (NMOC); and mercury (Hg).</w:t>
      </w:r>
      <w:r w:rsidR="0065214A" w:rsidRPr="00BB473B">
        <w:rPr>
          <w:rFonts w:ascii="Book Antiqua" w:hAnsi="Book Antiqua"/>
          <w:sz w:val="22"/>
        </w:rPr>
        <w:t xml:space="preserve">  Pollutant emissions from the project exceeding these rates are considered “significant” and the applicant must employ the Best Available Control Technology (BACT) to minimize emissions of each such pollutant and evaluate the air quality impacts.  Although a facility or project may be </w:t>
      </w:r>
      <w:r w:rsidR="0065214A" w:rsidRPr="00BB473B">
        <w:rPr>
          <w:rFonts w:ascii="Book Antiqua" w:hAnsi="Book Antiqua"/>
          <w:i/>
          <w:sz w:val="22"/>
        </w:rPr>
        <w:t>major</w:t>
      </w:r>
      <w:r w:rsidR="0065214A" w:rsidRPr="00BB473B">
        <w:rPr>
          <w:rFonts w:ascii="Book Antiqua" w:hAnsi="Book Antiqua"/>
          <w:sz w:val="22"/>
        </w:rPr>
        <w:t xml:space="preserve"> with respect to PSD for only one regulated pollutant, it may be required to install BACT controls for several “significant” regulated pollutants.</w:t>
      </w:r>
    </w:p>
    <w:p w:rsidR="00193F10" w:rsidRPr="00BB473B" w:rsidRDefault="00193F10">
      <w:pPr>
        <w:pStyle w:val="BodyText"/>
        <w:ind w:left="360" w:hanging="360"/>
        <w:jc w:val="both"/>
        <w:rPr>
          <w:rFonts w:ascii="Book Antiqua" w:hAnsi="Book Antiqua"/>
          <w:b/>
          <w:sz w:val="22"/>
        </w:rPr>
      </w:pPr>
      <w:r w:rsidRPr="00BB473B">
        <w:rPr>
          <w:rFonts w:ascii="Book Antiqua" w:hAnsi="Book Antiqua"/>
          <w:b/>
          <w:sz w:val="22"/>
        </w:rPr>
        <w:t>PSD Applicability for Project</w:t>
      </w:r>
    </w:p>
    <w:p w:rsidR="00192E20" w:rsidRDefault="00A43347" w:rsidP="00192E20">
      <w:pPr>
        <w:pStyle w:val="Default"/>
        <w:rPr>
          <w:sz w:val="20"/>
          <w:szCs w:val="20"/>
        </w:rPr>
      </w:pPr>
      <w:r>
        <w:rPr>
          <w:rFonts w:ascii="Book Antiqua" w:hAnsi="Book Antiqua"/>
          <w:sz w:val="22"/>
        </w:rPr>
        <w:t>Because</w:t>
      </w:r>
      <w:r w:rsidR="00FD04EA">
        <w:rPr>
          <w:rFonts w:ascii="Book Antiqua" w:hAnsi="Book Antiqua"/>
          <w:sz w:val="22"/>
        </w:rPr>
        <w:t xml:space="preserve"> the proposed </w:t>
      </w:r>
      <w:r w:rsidR="003B6447">
        <w:rPr>
          <w:rFonts w:ascii="Book Antiqua" w:hAnsi="Book Antiqua"/>
          <w:sz w:val="22"/>
        </w:rPr>
        <w:t xml:space="preserve">limestone silo </w:t>
      </w:r>
      <w:r>
        <w:rPr>
          <w:rFonts w:ascii="Book Antiqua" w:hAnsi="Book Antiqua"/>
          <w:sz w:val="22"/>
        </w:rPr>
        <w:t xml:space="preserve">is a </w:t>
      </w:r>
      <w:r w:rsidR="00FD04EA">
        <w:rPr>
          <w:rFonts w:ascii="Book Antiqua" w:hAnsi="Book Antiqua"/>
          <w:sz w:val="22"/>
        </w:rPr>
        <w:t xml:space="preserve">new unit, pursuant to </w:t>
      </w:r>
      <w:r w:rsidR="00192E20">
        <w:rPr>
          <w:rFonts w:ascii="Book Antiqua" w:hAnsi="Book Antiqua"/>
          <w:sz w:val="22"/>
        </w:rPr>
        <w:t>Rule 62-212.400(2)(a), F.A.C.</w:t>
      </w:r>
      <w:r w:rsidR="00FD04EA">
        <w:rPr>
          <w:rFonts w:ascii="Book Antiqua" w:hAnsi="Book Antiqua"/>
          <w:sz w:val="22"/>
        </w:rPr>
        <w:t>,</w:t>
      </w:r>
      <w:r w:rsidR="00192E20">
        <w:rPr>
          <w:rFonts w:ascii="Book Antiqua" w:hAnsi="Book Antiqua"/>
          <w:sz w:val="22"/>
        </w:rPr>
        <w:t xml:space="preserve"> the review procedure used to determine </w:t>
      </w:r>
      <w:r w:rsidR="00FD04EA">
        <w:rPr>
          <w:rFonts w:ascii="Book Antiqua" w:hAnsi="Book Antiqua"/>
          <w:sz w:val="22"/>
        </w:rPr>
        <w:t>whether</w:t>
      </w:r>
      <w:r w:rsidR="00192E20">
        <w:rPr>
          <w:rFonts w:ascii="Book Antiqua" w:hAnsi="Book Antiqua"/>
          <w:sz w:val="22"/>
        </w:rPr>
        <w:t xml:space="preserve"> a significant emission increase would occur </w:t>
      </w:r>
      <w:r w:rsidR="00FD04EA">
        <w:rPr>
          <w:rFonts w:ascii="Book Antiqua" w:hAnsi="Book Antiqua"/>
          <w:sz w:val="22"/>
        </w:rPr>
        <w:t xml:space="preserve">as a result of this project </w:t>
      </w:r>
      <w:r w:rsidR="00192E20">
        <w:rPr>
          <w:rFonts w:ascii="Book Antiqua" w:hAnsi="Book Antiqua"/>
          <w:sz w:val="22"/>
        </w:rPr>
        <w:t xml:space="preserve">was the </w:t>
      </w:r>
      <w:r w:rsidR="003B6447" w:rsidRPr="003B6447">
        <w:rPr>
          <w:rFonts w:ascii="Book Antiqua" w:hAnsi="Book Antiqua"/>
          <w:sz w:val="22"/>
          <w:szCs w:val="22"/>
        </w:rPr>
        <w:t xml:space="preserve">Baseline Actual-to-Potential Applicability Test </w:t>
      </w:r>
      <w:r w:rsidR="00192E20" w:rsidRPr="00465A53">
        <w:rPr>
          <w:rFonts w:ascii="Book Antiqua" w:hAnsi="Book Antiqua"/>
          <w:sz w:val="22"/>
          <w:szCs w:val="22"/>
        </w:rPr>
        <w:t xml:space="preserve">for </w:t>
      </w:r>
      <w:r w:rsidR="003B6447">
        <w:rPr>
          <w:rFonts w:ascii="Book Antiqua" w:hAnsi="Book Antiqua"/>
          <w:sz w:val="22"/>
          <w:szCs w:val="22"/>
        </w:rPr>
        <w:t>Construction of New</w:t>
      </w:r>
      <w:r w:rsidR="00192E20" w:rsidRPr="00465A53">
        <w:rPr>
          <w:rFonts w:ascii="Book Antiqua" w:hAnsi="Book Antiqua"/>
          <w:sz w:val="22"/>
          <w:szCs w:val="22"/>
        </w:rPr>
        <w:t xml:space="preserve"> Emissions Units. </w:t>
      </w:r>
      <w:r w:rsidR="00192E20" w:rsidRPr="00465A53">
        <w:rPr>
          <w:sz w:val="20"/>
          <w:szCs w:val="20"/>
        </w:rPr>
        <w:t xml:space="preserve"> </w:t>
      </w:r>
      <w:r>
        <w:rPr>
          <w:rFonts w:ascii="Book Antiqua" w:hAnsi="Book Antiqua"/>
          <w:sz w:val="22"/>
          <w:szCs w:val="22"/>
        </w:rPr>
        <w:t xml:space="preserve">Since the </w:t>
      </w:r>
      <w:r w:rsidR="005063EE">
        <w:rPr>
          <w:rFonts w:ascii="Book Antiqua" w:hAnsi="Book Antiqua"/>
          <w:sz w:val="22"/>
          <w:szCs w:val="22"/>
        </w:rPr>
        <w:t>Kiln ESP dust</w:t>
      </w:r>
      <w:r>
        <w:rPr>
          <w:rFonts w:ascii="Book Antiqua" w:hAnsi="Book Antiqua"/>
          <w:sz w:val="22"/>
          <w:szCs w:val="22"/>
        </w:rPr>
        <w:t xml:space="preserve"> transport system is tying into an existing system, the facility could have used the </w:t>
      </w:r>
      <w:r w:rsidRPr="00A43347">
        <w:rPr>
          <w:rFonts w:ascii="Book Antiqua" w:hAnsi="Book Antiqua"/>
          <w:sz w:val="22"/>
          <w:szCs w:val="22"/>
        </w:rPr>
        <w:t>Baseline Actual-to-Projected Actual Applicability Test</w:t>
      </w:r>
      <w:r>
        <w:rPr>
          <w:rFonts w:ascii="Book Antiqua" w:hAnsi="Book Antiqua"/>
          <w:sz w:val="22"/>
          <w:szCs w:val="22"/>
        </w:rPr>
        <w:t xml:space="preserve"> </w:t>
      </w:r>
      <w:r w:rsidRPr="00A43347">
        <w:rPr>
          <w:rFonts w:ascii="Book Antiqua" w:hAnsi="Book Antiqua"/>
          <w:sz w:val="22"/>
          <w:szCs w:val="22"/>
        </w:rPr>
        <w:t>for Modifications at Existing Emissions Units</w:t>
      </w:r>
      <w:r w:rsidR="003E753D">
        <w:rPr>
          <w:rFonts w:ascii="Book Antiqua" w:hAnsi="Book Antiqua"/>
          <w:sz w:val="22"/>
          <w:szCs w:val="22"/>
        </w:rPr>
        <w:t xml:space="preserve">, but instead </w:t>
      </w:r>
      <w:r>
        <w:rPr>
          <w:rFonts w:ascii="Book Antiqua" w:hAnsi="Book Antiqua"/>
          <w:sz w:val="22"/>
          <w:szCs w:val="22"/>
        </w:rPr>
        <w:t xml:space="preserve">used the more conservative method of the </w:t>
      </w:r>
      <w:r w:rsidRPr="00A43347">
        <w:rPr>
          <w:rFonts w:ascii="Book Antiqua" w:hAnsi="Book Antiqua"/>
          <w:sz w:val="22"/>
          <w:szCs w:val="22"/>
        </w:rPr>
        <w:t xml:space="preserve">Baseline Actual-to-Potential Applicability </w:t>
      </w:r>
      <w:r>
        <w:rPr>
          <w:rFonts w:ascii="Book Antiqua" w:hAnsi="Book Antiqua"/>
          <w:sz w:val="22"/>
          <w:szCs w:val="22"/>
        </w:rPr>
        <w:t xml:space="preserve">Test.  </w:t>
      </w:r>
    </w:p>
    <w:p w:rsidR="00FD04EA" w:rsidRPr="00465A53" w:rsidRDefault="00FD04EA" w:rsidP="00192E20">
      <w:pPr>
        <w:pStyle w:val="Default"/>
        <w:rPr>
          <w:sz w:val="20"/>
          <w:szCs w:val="20"/>
        </w:rPr>
      </w:pPr>
    </w:p>
    <w:p w:rsidR="006C7499" w:rsidRDefault="00735153" w:rsidP="000A0BAC">
      <w:pPr>
        <w:widowControl w:val="0"/>
        <w:spacing w:after="120"/>
        <w:rPr>
          <w:rFonts w:ascii="Book Antiqua" w:hAnsi="Book Antiqua"/>
          <w:sz w:val="22"/>
        </w:rPr>
      </w:pPr>
      <w:r w:rsidRPr="00BB473B">
        <w:rPr>
          <w:rFonts w:ascii="Book Antiqua" w:hAnsi="Book Antiqua"/>
          <w:sz w:val="22"/>
        </w:rPr>
        <w:t xml:space="preserve">The </w:t>
      </w:r>
      <w:r w:rsidR="006C7499" w:rsidRPr="00BB473B">
        <w:rPr>
          <w:rFonts w:ascii="Book Antiqua" w:hAnsi="Book Antiqua"/>
          <w:sz w:val="22"/>
        </w:rPr>
        <w:t xml:space="preserve">following table summarizes the applicant’s </w:t>
      </w:r>
      <w:r w:rsidR="00D86CF1">
        <w:rPr>
          <w:rFonts w:ascii="Book Antiqua" w:hAnsi="Book Antiqua"/>
          <w:sz w:val="22"/>
        </w:rPr>
        <w:t xml:space="preserve">potential calculated </w:t>
      </w:r>
      <w:r w:rsidR="006C7499" w:rsidRPr="00BB473B">
        <w:rPr>
          <w:rFonts w:ascii="Book Antiqua" w:hAnsi="Book Antiqua"/>
          <w:sz w:val="22"/>
        </w:rPr>
        <w:t xml:space="preserve">changes </w:t>
      </w:r>
      <w:r w:rsidR="00AC6F94">
        <w:rPr>
          <w:rFonts w:ascii="Book Antiqua" w:hAnsi="Book Antiqua"/>
          <w:sz w:val="22"/>
        </w:rPr>
        <w:t xml:space="preserve">(increases) </w:t>
      </w:r>
      <w:r w:rsidR="00465A53">
        <w:rPr>
          <w:rFonts w:ascii="Book Antiqua" w:hAnsi="Book Antiqua"/>
          <w:sz w:val="22"/>
        </w:rPr>
        <w:t xml:space="preserve">in </w:t>
      </w:r>
      <w:r w:rsidR="003B6447">
        <w:rPr>
          <w:rFonts w:ascii="Book Antiqua" w:hAnsi="Book Antiqua"/>
          <w:sz w:val="22"/>
        </w:rPr>
        <w:t>potential</w:t>
      </w:r>
      <w:r w:rsidR="00465A53">
        <w:rPr>
          <w:rFonts w:ascii="Book Antiqua" w:hAnsi="Book Antiqua"/>
          <w:sz w:val="22"/>
        </w:rPr>
        <w:t xml:space="preserve"> emissions </w:t>
      </w:r>
      <w:r w:rsidR="003B6447">
        <w:rPr>
          <w:rFonts w:ascii="Book Antiqua" w:hAnsi="Book Antiqua"/>
          <w:sz w:val="22"/>
        </w:rPr>
        <w:t>attributable to the proposed installation of the new limestone silo and ESP kiln dust transport system tie-in</w:t>
      </w:r>
      <w:r w:rsidRPr="00BB473B">
        <w:rPr>
          <w:rFonts w:ascii="Book Antiqua" w:hAnsi="Book Antiqua"/>
          <w:sz w:val="22"/>
        </w:rPr>
        <w:t xml:space="preserve"> </w:t>
      </w:r>
      <w:r w:rsidR="006C7499" w:rsidRPr="00BB473B">
        <w:rPr>
          <w:rFonts w:ascii="Book Antiqua" w:hAnsi="Book Antiqua"/>
          <w:sz w:val="22"/>
        </w:rPr>
        <w:t xml:space="preserve">based on the application </w:t>
      </w:r>
      <w:r w:rsidR="000B7E74" w:rsidRPr="00BB473B">
        <w:rPr>
          <w:rFonts w:ascii="Book Antiqua" w:hAnsi="Book Antiqua"/>
          <w:sz w:val="22"/>
        </w:rPr>
        <w:t xml:space="preserve">and </w:t>
      </w:r>
      <w:r w:rsidR="006C7499" w:rsidRPr="00BB473B">
        <w:rPr>
          <w:rFonts w:ascii="Book Antiqua" w:hAnsi="Book Antiqua"/>
          <w:sz w:val="22"/>
        </w:rPr>
        <w:t xml:space="preserve">the applicant’s additional information.  </w:t>
      </w:r>
    </w:p>
    <w:p w:rsidR="000A0BAC" w:rsidRDefault="000A0BAC" w:rsidP="000A0BAC">
      <w:pPr>
        <w:pStyle w:val="BodyText"/>
        <w:jc w:val="both"/>
        <w:rPr>
          <w:rFonts w:ascii="Book Antiqua" w:hAnsi="Book Antiqua"/>
          <w:b/>
          <w:sz w:val="22"/>
        </w:rPr>
      </w:pPr>
      <w:r w:rsidRPr="00DF41FD">
        <w:rPr>
          <w:rFonts w:ascii="Book Antiqua" w:hAnsi="Book Antiqua"/>
          <w:b/>
          <w:sz w:val="22"/>
        </w:rPr>
        <w:t xml:space="preserve">Table A.  Applicant’s </w:t>
      </w:r>
      <w:r w:rsidR="00AC6F94" w:rsidRPr="00DF41FD">
        <w:rPr>
          <w:rFonts w:ascii="Book Antiqua" w:hAnsi="Book Antiqua"/>
          <w:b/>
          <w:sz w:val="22"/>
        </w:rPr>
        <w:t xml:space="preserve">Projected Emission Increases </w:t>
      </w:r>
      <w:r w:rsidR="002F7F9C" w:rsidRPr="00DF41FD">
        <w:rPr>
          <w:rFonts w:ascii="Book Antiqua" w:hAnsi="Book Antiqua"/>
          <w:b/>
          <w:sz w:val="22"/>
        </w:rPr>
        <w:t xml:space="preserve">(Tons per Year) </w:t>
      </w:r>
      <w:r w:rsidRPr="00DF41FD">
        <w:rPr>
          <w:rFonts w:ascii="Book Antiqua" w:hAnsi="Book Antiqua"/>
          <w:b/>
          <w:sz w:val="22"/>
        </w:rPr>
        <w:t>and PSD Applicability</w:t>
      </w:r>
    </w:p>
    <w:p w:rsidR="004B5B4B" w:rsidRPr="00DF41FD" w:rsidRDefault="004B5B4B" w:rsidP="000A0BAC">
      <w:pPr>
        <w:pStyle w:val="BodyText"/>
        <w:jc w:val="both"/>
        <w:rPr>
          <w:rFonts w:ascii="Book Antiqua" w:hAnsi="Book Antiqua"/>
          <w:b/>
          <w:sz w:val="22"/>
        </w:rPr>
      </w:pPr>
    </w:p>
    <w:tbl>
      <w:tblPr>
        <w:tblpPr w:leftFromText="180" w:rightFromText="180" w:vertAnchor="text" w:tblpY="1"/>
        <w:tblOverlap w:val="never"/>
        <w:tblW w:w="823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1045"/>
        <w:gridCol w:w="1565"/>
        <w:gridCol w:w="1080"/>
        <w:gridCol w:w="1080"/>
        <w:gridCol w:w="1080"/>
        <w:gridCol w:w="1450"/>
        <w:gridCol w:w="932"/>
      </w:tblGrid>
      <w:tr w:rsidR="00181F87" w:rsidRPr="00BB473B" w:rsidTr="003B4F55">
        <w:trPr>
          <w:gridAfter w:val="3"/>
          <w:wAfter w:w="3462" w:type="dxa"/>
          <w:trHeight w:val="241"/>
          <w:tblHeader/>
        </w:trPr>
        <w:tc>
          <w:tcPr>
            <w:tcW w:w="1045" w:type="dxa"/>
            <w:vMerge w:val="restart"/>
            <w:tcBorders>
              <w:top w:val="single" w:sz="12" w:space="0" w:color="auto"/>
              <w:left w:val="single" w:sz="12" w:space="0" w:color="auto"/>
              <w:right w:val="single" w:sz="12" w:space="0" w:color="auto"/>
            </w:tcBorders>
            <w:vAlign w:val="center"/>
          </w:tcPr>
          <w:p w:rsidR="00181F87" w:rsidRPr="00BB473B" w:rsidRDefault="00181F87" w:rsidP="003B4F55">
            <w:pPr>
              <w:pStyle w:val="BodyText"/>
              <w:widowControl w:val="0"/>
              <w:spacing w:after="0"/>
              <w:jc w:val="center"/>
              <w:rPr>
                <w:rFonts w:ascii="Book Antiqua" w:hAnsi="Book Antiqua"/>
                <w:b/>
                <w:sz w:val="20"/>
              </w:rPr>
            </w:pPr>
            <w:r w:rsidRPr="00BB473B">
              <w:rPr>
                <w:rFonts w:ascii="Book Antiqua" w:hAnsi="Book Antiqua"/>
                <w:b/>
                <w:sz w:val="20"/>
              </w:rPr>
              <w:t>Pollutant</w:t>
            </w:r>
            <w:r w:rsidRPr="00BB473B">
              <w:rPr>
                <w:rFonts w:ascii="Book Antiqua" w:hAnsi="Book Antiqua"/>
                <w:b/>
                <w:sz w:val="20"/>
                <w:vertAlign w:val="superscript"/>
              </w:rPr>
              <w:t xml:space="preserve"> </w:t>
            </w:r>
          </w:p>
        </w:tc>
        <w:tc>
          <w:tcPr>
            <w:tcW w:w="1565" w:type="dxa"/>
            <w:tcBorders>
              <w:top w:val="nil"/>
              <w:left w:val="single" w:sz="12" w:space="0" w:color="auto"/>
              <w:bottom w:val="single" w:sz="12" w:space="0" w:color="auto"/>
              <w:right w:val="nil"/>
            </w:tcBorders>
          </w:tcPr>
          <w:p w:rsidR="00181F87" w:rsidRPr="00BB473B" w:rsidRDefault="00181F87" w:rsidP="003B4F55">
            <w:pPr>
              <w:pStyle w:val="BodyText"/>
              <w:widowControl w:val="0"/>
              <w:spacing w:after="0"/>
              <w:jc w:val="center"/>
              <w:rPr>
                <w:rFonts w:ascii="Book Antiqua" w:hAnsi="Book Antiqua"/>
                <w:b/>
                <w:sz w:val="20"/>
              </w:rPr>
            </w:pPr>
          </w:p>
        </w:tc>
        <w:tc>
          <w:tcPr>
            <w:tcW w:w="1080" w:type="dxa"/>
            <w:tcBorders>
              <w:top w:val="nil"/>
              <w:left w:val="nil"/>
              <w:bottom w:val="single" w:sz="12" w:space="0" w:color="auto"/>
              <w:right w:val="nil"/>
            </w:tcBorders>
          </w:tcPr>
          <w:p w:rsidR="00181F87" w:rsidRPr="00BB473B" w:rsidRDefault="00181F87" w:rsidP="003B4F55">
            <w:pPr>
              <w:pStyle w:val="BodyText"/>
              <w:widowControl w:val="0"/>
              <w:spacing w:after="0"/>
              <w:jc w:val="center"/>
              <w:rPr>
                <w:rFonts w:ascii="Book Antiqua" w:hAnsi="Book Antiqua"/>
                <w:b/>
                <w:sz w:val="20"/>
              </w:rPr>
            </w:pPr>
          </w:p>
        </w:tc>
        <w:tc>
          <w:tcPr>
            <w:tcW w:w="1080" w:type="dxa"/>
            <w:tcBorders>
              <w:top w:val="nil"/>
              <w:left w:val="nil"/>
              <w:bottom w:val="single" w:sz="12" w:space="0" w:color="auto"/>
              <w:right w:val="nil"/>
            </w:tcBorders>
          </w:tcPr>
          <w:p w:rsidR="00181F87" w:rsidRPr="00BB473B" w:rsidRDefault="00181F87" w:rsidP="003B4F55">
            <w:pPr>
              <w:pStyle w:val="BodyText"/>
              <w:widowControl w:val="0"/>
              <w:spacing w:after="0"/>
              <w:jc w:val="center"/>
              <w:rPr>
                <w:rFonts w:ascii="Book Antiqua" w:hAnsi="Book Antiqua"/>
                <w:b/>
                <w:sz w:val="20"/>
              </w:rPr>
            </w:pPr>
          </w:p>
        </w:tc>
      </w:tr>
      <w:tr w:rsidR="00181F87" w:rsidRPr="00BB473B" w:rsidTr="00E60609">
        <w:trPr>
          <w:trHeight w:val="265"/>
          <w:tblHeader/>
        </w:trPr>
        <w:tc>
          <w:tcPr>
            <w:tcW w:w="1045" w:type="dxa"/>
            <w:vMerge/>
            <w:tcBorders>
              <w:left w:val="single" w:sz="12" w:space="0" w:color="auto"/>
              <w:bottom w:val="single" w:sz="12" w:space="0" w:color="auto"/>
              <w:right w:val="single" w:sz="12" w:space="0" w:color="auto"/>
            </w:tcBorders>
            <w:vAlign w:val="center"/>
          </w:tcPr>
          <w:p w:rsidR="00181F87" w:rsidRPr="00BB473B" w:rsidRDefault="00181F87" w:rsidP="003B4F55">
            <w:pPr>
              <w:pStyle w:val="BodyText"/>
              <w:widowControl w:val="0"/>
              <w:spacing w:after="0"/>
              <w:jc w:val="center"/>
              <w:rPr>
                <w:rFonts w:ascii="Book Antiqua" w:hAnsi="Book Antiqua"/>
                <w:b/>
                <w:sz w:val="20"/>
              </w:rPr>
            </w:pPr>
          </w:p>
        </w:tc>
        <w:tc>
          <w:tcPr>
            <w:tcW w:w="1565" w:type="dxa"/>
            <w:tcBorders>
              <w:top w:val="single" w:sz="12" w:space="0" w:color="auto"/>
              <w:left w:val="single" w:sz="12" w:space="0" w:color="auto"/>
              <w:bottom w:val="single" w:sz="12" w:space="0" w:color="auto"/>
              <w:right w:val="single" w:sz="12" w:space="0" w:color="auto"/>
            </w:tcBorders>
          </w:tcPr>
          <w:p w:rsidR="00181F87" w:rsidRDefault="00181F87" w:rsidP="003B4F55">
            <w:pPr>
              <w:widowControl w:val="0"/>
              <w:jc w:val="center"/>
              <w:rPr>
                <w:rFonts w:ascii="Book Antiqua" w:hAnsi="Book Antiqua"/>
                <w:b/>
              </w:rPr>
            </w:pPr>
            <w:r>
              <w:rPr>
                <w:rFonts w:ascii="Book Antiqua" w:hAnsi="Book Antiqua"/>
                <w:b/>
              </w:rPr>
              <w:t>Emission Unit</w:t>
            </w:r>
          </w:p>
        </w:tc>
        <w:tc>
          <w:tcPr>
            <w:tcW w:w="1080" w:type="dxa"/>
            <w:tcBorders>
              <w:top w:val="single" w:sz="12" w:space="0" w:color="auto"/>
              <w:left w:val="single" w:sz="12" w:space="0" w:color="auto"/>
              <w:bottom w:val="single" w:sz="12" w:space="0" w:color="auto"/>
              <w:right w:val="single" w:sz="12" w:space="0" w:color="auto"/>
            </w:tcBorders>
          </w:tcPr>
          <w:p w:rsidR="00181F87" w:rsidRDefault="00181F87" w:rsidP="003B4F55">
            <w:pPr>
              <w:widowControl w:val="0"/>
              <w:jc w:val="center"/>
              <w:rPr>
                <w:rFonts w:ascii="Book Antiqua" w:hAnsi="Book Antiqua"/>
                <w:b/>
              </w:rPr>
            </w:pPr>
            <w:r>
              <w:rPr>
                <w:rFonts w:ascii="Book Antiqua" w:hAnsi="Book Antiqua"/>
                <w:b/>
              </w:rPr>
              <w:t>Baseline Potential Emissions</w:t>
            </w:r>
          </w:p>
        </w:tc>
        <w:tc>
          <w:tcPr>
            <w:tcW w:w="1080" w:type="dxa"/>
            <w:tcBorders>
              <w:top w:val="single" w:sz="12" w:space="0" w:color="auto"/>
              <w:left w:val="single" w:sz="12" w:space="0" w:color="auto"/>
              <w:bottom w:val="single" w:sz="12" w:space="0" w:color="auto"/>
              <w:right w:val="single" w:sz="12" w:space="0" w:color="auto"/>
            </w:tcBorders>
          </w:tcPr>
          <w:p w:rsidR="00181F87" w:rsidRPr="00BB473B" w:rsidRDefault="00181F87" w:rsidP="003B4F55">
            <w:pPr>
              <w:widowControl w:val="0"/>
              <w:jc w:val="center"/>
              <w:rPr>
                <w:rFonts w:ascii="Book Antiqua" w:hAnsi="Book Antiqua"/>
                <w:b/>
              </w:rPr>
            </w:pPr>
            <w:r>
              <w:rPr>
                <w:rFonts w:ascii="Book Antiqua" w:hAnsi="Book Antiqua"/>
                <w:b/>
              </w:rPr>
              <w:t>Potential Emissions</w:t>
            </w:r>
          </w:p>
        </w:tc>
        <w:tc>
          <w:tcPr>
            <w:tcW w:w="1080" w:type="dxa"/>
            <w:tcBorders>
              <w:top w:val="single" w:sz="12" w:space="0" w:color="auto"/>
              <w:left w:val="single" w:sz="12" w:space="0" w:color="auto"/>
              <w:bottom w:val="single" w:sz="12" w:space="0" w:color="auto"/>
              <w:right w:val="single" w:sz="12" w:space="0" w:color="auto"/>
            </w:tcBorders>
            <w:vAlign w:val="center"/>
          </w:tcPr>
          <w:p w:rsidR="00181F87" w:rsidRPr="00BB473B" w:rsidRDefault="00181F87" w:rsidP="003B4F55">
            <w:pPr>
              <w:widowControl w:val="0"/>
              <w:jc w:val="center"/>
              <w:rPr>
                <w:rFonts w:ascii="Book Antiqua" w:hAnsi="Book Antiqua"/>
                <w:b/>
              </w:rPr>
            </w:pPr>
            <w:r w:rsidRPr="00BB473B">
              <w:rPr>
                <w:rFonts w:ascii="Book Antiqua" w:hAnsi="Book Antiqua"/>
                <w:b/>
              </w:rPr>
              <w:t>Projected</w:t>
            </w:r>
          </w:p>
          <w:p w:rsidR="00181F87" w:rsidRPr="00BB473B" w:rsidRDefault="00181F87" w:rsidP="003B4F55">
            <w:pPr>
              <w:widowControl w:val="0"/>
              <w:jc w:val="center"/>
              <w:rPr>
                <w:rFonts w:ascii="Book Antiqua" w:hAnsi="Book Antiqua"/>
                <w:b/>
              </w:rPr>
            </w:pPr>
            <w:r w:rsidRPr="00BB473B">
              <w:rPr>
                <w:rFonts w:ascii="Book Antiqua" w:hAnsi="Book Antiqua"/>
                <w:b/>
              </w:rPr>
              <w:t>Increases</w:t>
            </w:r>
            <w:r w:rsidRPr="00BB473B">
              <w:rPr>
                <w:rFonts w:ascii="Book Antiqua" w:hAnsi="Book Antiqua"/>
                <w:b/>
                <w:vertAlign w:val="superscript"/>
              </w:rPr>
              <w:t xml:space="preserve"> </w:t>
            </w:r>
          </w:p>
        </w:tc>
        <w:tc>
          <w:tcPr>
            <w:tcW w:w="1450" w:type="dxa"/>
            <w:tcBorders>
              <w:top w:val="single" w:sz="12" w:space="0" w:color="auto"/>
              <w:left w:val="single" w:sz="12" w:space="0" w:color="auto"/>
              <w:bottom w:val="single" w:sz="12" w:space="0" w:color="auto"/>
              <w:right w:val="single" w:sz="12" w:space="0" w:color="auto"/>
            </w:tcBorders>
            <w:vAlign w:val="center"/>
          </w:tcPr>
          <w:p w:rsidR="00181F87" w:rsidRPr="00BB473B" w:rsidRDefault="00181F87" w:rsidP="003B4F55">
            <w:pPr>
              <w:pStyle w:val="BodyText"/>
              <w:widowControl w:val="0"/>
              <w:spacing w:after="0"/>
              <w:jc w:val="center"/>
              <w:rPr>
                <w:rFonts w:ascii="Book Antiqua" w:hAnsi="Book Antiqua"/>
                <w:b/>
                <w:sz w:val="20"/>
              </w:rPr>
            </w:pPr>
            <w:r w:rsidRPr="00BB473B">
              <w:rPr>
                <w:rFonts w:ascii="Book Antiqua" w:hAnsi="Book Antiqua"/>
                <w:b/>
                <w:sz w:val="20"/>
              </w:rPr>
              <w:t>PSD Significant</w:t>
            </w:r>
          </w:p>
          <w:p w:rsidR="00181F87" w:rsidRPr="00BB473B" w:rsidRDefault="00181F87" w:rsidP="003B4F55">
            <w:pPr>
              <w:pStyle w:val="BodyText"/>
              <w:widowControl w:val="0"/>
              <w:spacing w:after="0"/>
              <w:jc w:val="center"/>
              <w:rPr>
                <w:rFonts w:ascii="Book Antiqua" w:hAnsi="Book Antiqua"/>
                <w:b/>
                <w:sz w:val="20"/>
              </w:rPr>
            </w:pPr>
            <w:r w:rsidRPr="00BB473B">
              <w:rPr>
                <w:rFonts w:ascii="Book Antiqua" w:hAnsi="Book Antiqua"/>
                <w:b/>
                <w:sz w:val="20"/>
              </w:rPr>
              <w:t>Emissions Rate</w:t>
            </w:r>
          </w:p>
        </w:tc>
        <w:tc>
          <w:tcPr>
            <w:tcW w:w="932" w:type="dxa"/>
            <w:tcBorders>
              <w:top w:val="single" w:sz="12" w:space="0" w:color="auto"/>
              <w:left w:val="single" w:sz="12" w:space="0" w:color="auto"/>
              <w:bottom w:val="single" w:sz="12" w:space="0" w:color="auto"/>
              <w:right w:val="single" w:sz="12" w:space="0" w:color="auto"/>
            </w:tcBorders>
            <w:vAlign w:val="center"/>
          </w:tcPr>
          <w:p w:rsidR="00181F87" w:rsidRPr="00BB473B" w:rsidRDefault="00181F87" w:rsidP="003B4F55">
            <w:pPr>
              <w:pStyle w:val="BodyText"/>
              <w:widowControl w:val="0"/>
              <w:spacing w:after="0"/>
              <w:jc w:val="center"/>
              <w:rPr>
                <w:rFonts w:ascii="Book Antiqua" w:hAnsi="Book Antiqua"/>
                <w:b/>
                <w:sz w:val="20"/>
              </w:rPr>
            </w:pPr>
            <w:r w:rsidRPr="00BB473B">
              <w:rPr>
                <w:rFonts w:ascii="Book Antiqua" w:hAnsi="Book Antiqua"/>
                <w:b/>
                <w:sz w:val="20"/>
              </w:rPr>
              <w:t>Subject</w:t>
            </w:r>
          </w:p>
          <w:p w:rsidR="00181F87" w:rsidRPr="00BB473B" w:rsidRDefault="00181F87" w:rsidP="003B4F55">
            <w:pPr>
              <w:pStyle w:val="BodyText"/>
              <w:widowControl w:val="0"/>
              <w:spacing w:after="0"/>
              <w:jc w:val="center"/>
              <w:rPr>
                <w:rFonts w:ascii="Book Antiqua" w:hAnsi="Book Antiqua"/>
                <w:b/>
                <w:sz w:val="20"/>
              </w:rPr>
            </w:pPr>
            <w:r w:rsidRPr="00BB473B">
              <w:rPr>
                <w:rFonts w:ascii="Book Antiqua" w:hAnsi="Book Antiqua"/>
                <w:b/>
                <w:sz w:val="20"/>
              </w:rPr>
              <w:t>to</w:t>
            </w:r>
          </w:p>
          <w:p w:rsidR="00181F87" w:rsidRPr="00BB473B" w:rsidRDefault="00181F87" w:rsidP="003B4F55">
            <w:pPr>
              <w:pStyle w:val="BodyText"/>
              <w:widowControl w:val="0"/>
              <w:spacing w:after="0"/>
              <w:jc w:val="center"/>
              <w:rPr>
                <w:rFonts w:ascii="Book Antiqua" w:hAnsi="Book Antiqua"/>
                <w:b/>
                <w:sz w:val="20"/>
              </w:rPr>
            </w:pPr>
            <w:r w:rsidRPr="00BB473B">
              <w:rPr>
                <w:rFonts w:ascii="Book Antiqua" w:hAnsi="Book Antiqua"/>
                <w:b/>
                <w:sz w:val="20"/>
              </w:rPr>
              <w:t>PSD?</w:t>
            </w:r>
          </w:p>
        </w:tc>
      </w:tr>
      <w:tr w:rsidR="00EA08DD" w:rsidRPr="00BB473B" w:rsidTr="00E60609">
        <w:trPr>
          <w:trHeight w:val="86"/>
        </w:trPr>
        <w:tc>
          <w:tcPr>
            <w:tcW w:w="1045" w:type="dxa"/>
            <w:vMerge w:val="restart"/>
            <w:tcBorders>
              <w:top w:val="single" w:sz="12" w:space="0" w:color="auto"/>
              <w:left w:val="single" w:sz="12"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sidRPr="00BB473B">
              <w:rPr>
                <w:rFonts w:ascii="Book Antiqua" w:hAnsi="Book Antiqua"/>
                <w:sz w:val="20"/>
              </w:rPr>
              <w:t>PM</w:t>
            </w:r>
          </w:p>
        </w:tc>
        <w:tc>
          <w:tcPr>
            <w:tcW w:w="1565" w:type="dxa"/>
            <w:tcBorders>
              <w:top w:val="single" w:sz="12" w:space="0" w:color="auto"/>
              <w:left w:val="single" w:sz="12" w:space="0" w:color="auto"/>
              <w:bottom w:val="single" w:sz="4" w:space="0" w:color="auto"/>
              <w:right w:val="single" w:sz="12" w:space="0" w:color="auto"/>
            </w:tcBorders>
          </w:tcPr>
          <w:p w:rsidR="00EA08DD" w:rsidRPr="003B4F55" w:rsidRDefault="00EA08DD" w:rsidP="003B4F55">
            <w:pPr>
              <w:pStyle w:val="BodyText"/>
              <w:widowControl w:val="0"/>
              <w:spacing w:after="0"/>
              <w:jc w:val="center"/>
              <w:rPr>
                <w:rFonts w:ascii="Book Antiqua" w:hAnsi="Book Antiqua"/>
                <w:sz w:val="20"/>
                <w:vertAlign w:val="superscript"/>
              </w:rPr>
            </w:pPr>
            <w:r>
              <w:rPr>
                <w:rFonts w:ascii="Book Antiqua" w:hAnsi="Book Antiqua"/>
                <w:sz w:val="20"/>
              </w:rPr>
              <w:t>Limestone Silo</w:t>
            </w:r>
            <w:r w:rsidR="003B4F55" w:rsidRPr="003B4F55">
              <w:rPr>
                <w:rFonts w:ascii="Book Antiqua" w:hAnsi="Book Antiqua"/>
                <w:sz w:val="20"/>
                <w:vertAlign w:val="superscript"/>
              </w:rPr>
              <w:t>1</w:t>
            </w:r>
          </w:p>
        </w:tc>
        <w:tc>
          <w:tcPr>
            <w:tcW w:w="1080" w:type="dxa"/>
            <w:tcBorders>
              <w:top w:val="single" w:sz="12" w:space="0" w:color="auto"/>
              <w:left w:val="single" w:sz="12" w:space="0" w:color="auto"/>
              <w:bottom w:val="single" w:sz="4"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tcBorders>
              <w:top w:val="single" w:sz="12" w:space="0" w:color="auto"/>
              <w:left w:val="single" w:sz="12" w:space="0" w:color="auto"/>
              <w:bottom w:val="single" w:sz="4"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1.54</w:t>
            </w:r>
          </w:p>
        </w:tc>
        <w:tc>
          <w:tcPr>
            <w:tcW w:w="1080" w:type="dxa"/>
            <w:vMerge w:val="restart"/>
            <w:tcBorders>
              <w:top w:val="single" w:sz="12" w:space="0" w:color="auto"/>
              <w:left w:val="single" w:sz="12"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Pr>
                <w:rFonts w:ascii="Book Antiqua" w:hAnsi="Book Antiqua"/>
                <w:sz w:val="20"/>
              </w:rPr>
              <w:t>1.54</w:t>
            </w:r>
          </w:p>
        </w:tc>
        <w:tc>
          <w:tcPr>
            <w:tcW w:w="1450" w:type="dxa"/>
            <w:tcBorders>
              <w:top w:val="single" w:sz="12" w:space="0" w:color="auto"/>
              <w:left w:val="single" w:sz="12" w:space="0" w:color="auto"/>
              <w:bottom w:val="single" w:sz="4"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sidRPr="00BB473B">
              <w:rPr>
                <w:rFonts w:ascii="Book Antiqua" w:hAnsi="Book Antiqua"/>
                <w:sz w:val="20"/>
              </w:rPr>
              <w:t>25</w:t>
            </w:r>
          </w:p>
        </w:tc>
        <w:tc>
          <w:tcPr>
            <w:tcW w:w="932" w:type="dxa"/>
            <w:vMerge w:val="restart"/>
            <w:tcBorders>
              <w:top w:val="single" w:sz="12" w:space="0" w:color="auto"/>
              <w:left w:val="single" w:sz="12" w:space="0" w:color="auto"/>
              <w:right w:val="single" w:sz="12" w:space="0" w:color="auto"/>
            </w:tcBorders>
            <w:vAlign w:val="center"/>
          </w:tcPr>
          <w:p w:rsidR="00EA08DD" w:rsidRPr="00BB473B" w:rsidRDefault="00EA08DD" w:rsidP="003B4F55">
            <w:pPr>
              <w:jc w:val="center"/>
              <w:rPr>
                <w:rFonts w:ascii="Book Antiqua" w:hAnsi="Book Antiqua"/>
              </w:rPr>
            </w:pPr>
            <w:r w:rsidRPr="00BB473B">
              <w:rPr>
                <w:rFonts w:ascii="Book Antiqua" w:hAnsi="Book Antiqua"/>
              </w:rPr>
              <w:t>No</w:t>
            </w:r>
          </w:p>
        </w:tc>
      </w:tr>
      <w:tr w:rsidR="00EA08DD" w:rsidRPr="00BB473B" w:rsidTr="00E60609">
        <w:trPr>
          <w:trHeight w:val="86"/>
        </w:trPr>
        <w:tc>
          <w:tcPr>
            <w:tcW w:w="1045" w:type="dxa"/>
            <w:vMerge/>
            <w:tcBorders>
              <w:left w:val="single" w:sz="12" w:space="0" w:color="auto"/>
              <w:bottom w:val="single" w:sz="8"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p>
        </w:tc>
        <w:tc>
          <w:tcPr>
            <w:tcW w:w="1565" w:type="dxa"/>
            <w:tcBorders>
              <w:top w:val="single" w:sz="4" w:space="0" w:color="auto"/>
              <w:left w:val="single" w:sz="12" w:space="0" w:color="auto"/>
              <w:bottom w:val="single" w:sz="8" w:space="0" w:color="auto"/>
              <w:right w:val="single" w:sz="12" w:space="0" w:color="auto"/>
            </w:tcBorders>
          </w:tcPr>
          <w:p w:rsidR="00EA08DD" w:rsidRDefault="005063EE" w:rsidP="003B4F55">
            <w:pPr>
              <w:pStyle w:val="BodyText"/>
              <w:widowControl w:val="0"/>
              <w:spacing w:after="0"/>
              <w:jc w:val="center"/>
              <w:rPr>
                <w:rFonts w:ascii="Book Antiqua" w:hAnsi="Book Antiqua"/>
                <w:sz w:val="20"/>
              </w:rPr>
            </w:pPr>
            <w:r>
              <w:rPr>
                <w:rFonts w:ascii="Book Antiqua" w:hAnsi="Book Antiqua"/>
                <w:sz w:val="20"/>
              </w:rPr>
              <w:t>Kiln ESP dust</w:t>
            </w:r>
            <w:r w:rsidR="00EA08DD">
              <w:rPr>
                <w:rFonts w:ascii="Book Antiqua" w:hAnsi="Book Antiqua"/>
                <w:sz w:val="20"/>
              </w:rPr>
              <w:t xml:space="preserve"> Transport System Tie-In</w:t>
            </w:r>
            <w:r w:rsidR="003B4F55" w:rsidRPr="003B4F55">
              <w:rPr>
                <w:rFonts w:ascii="Book Antiqua" w:hAnsi="Book Antiqua"/>
                <w:sz w:val="20"/>
                <w:vertAlign w:val="superscript"/>
              </w:rPr>
              <w:t>1</w:t>
            </w:r>
          </w:p>
        </w:tc>
        <w:tc>
          <w:tcPr>
            <w:tcW w:w="1080" w:type="dxa"/>
            <w:tcBorders>
              <w:top w:val="single" w:sz="4"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tcBorders>
              <w:top w:val="single" w:sz="4"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vMerge/>
            <w:tcBorders>
              <w:left w:val="single" w:sz="12" w:space="0" w:color="auto"/>
              <w:bottom w:val="single" w:sz="8" w:space="0" w:color="auto"/>
              <w:right w:val="single" w:sz="12" w:space="0" w:color="auto"/>
            </w:tcBorders>
            <w:vAlign w:val="center"/>
          </w:tcPr>
          <w:p w:rsidR="00EA08DD" w:rsidRDefault="00EA08DD" w:rsidP="003B4F55">
            <w:pPr>
              <w:pStyle w:val="BodyText"/>
              <w:widowControl w:val="0"/>
              <w:spacing w:after="0"/>
              <w:jc w:val="center"/>
              <w:rPr>
                <w:rFonts w:ascii="Book Antiqua" w:hAnsi="Book Antiqua"/>
                <w:sz w:val="20"/>
              </w:rPr>
            </w:pPr>
          </w:p>
        </w:tc>
        <w:tc>
          <w:tcPr>
            <w:tcW w:w="1450" w:type="dxa"/>
            <w:tcBorders>
              <w:top w:val="single" w:sz="4" w:space="0" w:color="auto"/>
              <w:left w:val="single" w:sz="12" w:space="0" w:color="auto"/>
              <w:bottom w:val="single" w:sz="8"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p>
        </w:tc>
        <w:tc>
          <w:tcPr>
            <w:tcW w:w="932" w:type="dxa"/>
            <w:vMerge/>
            <w:tcBorders>
              <w:left w:val="single" w:sz="12" w:space="0" w:color="auto"/>
              <w:bottom w:val="single" w:sz="8" w:space="0" w:color="auto"/>
              <w:right w:val="single" w:sz="12" w:space="0" w:color="auto"/>
            </w:tcBorders>
            <w:vAlign w:val="center"/>
          </w:tcPr>
          <w:p w:rsidR="00EA08DD" w:rsidRPr="00BB473B" w:rsidRDefault="00EA08DD" w:rsidP="003B4F55">
            <w:pPr>
              <w:jc w:val="center"/>
              <w:rPr>
                <w:rFonts w:ascii="Book Antiqua" w:hAnsi="Book Antiqua"/>
              </w:rPr>
            </w:pPr>
          </w:p>
        </w:tc>
      </w:tr>
      <w:tr w:rsidR="00EA08DD" w:rsidRPr="00BB473B" w:rsidTr="003B4F55">
        <w:trPr>
          <w:trHeight w:val="86"/>
        </w:trPr>
        <w:tc>
          <w:tcPr>
            <w:tcW w:w="1045" w:type="dxa"/>
            <w:vMerge w:val="restart"/>
            <w:tcBorders>
              <w:top w:val="single" w:sz="8" w:space="0" w:color="auto"/>
              <w:left w:val="single" w:sz="12"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sidRPr="00BB473B">
              <w:rPr>
                <w:rFonts w:ascii="Book Antiqua" w:hAnsi="Book Antiqua"/>
                <w:sz w:val="20"/>
              </w:rPr>
              <w:t>PM</w:t>
            </w:r>
            <w:r w:rsidRPr="00BB473B">
              <w:rPr>
                <w:rFonts w:ascii="Book Antiqua" w:hAnsi="Book Antiqua"/>
                <w:sz w:val="20"/>
                <w:vertAlign w:val="subscript"/>
              </w:rPr>
              <w:t>10</w:t>
            </w:r>
            <w:r w:rsidRPr="00BB473B">
              <w:rPr>
                <w:rFonts w:ascii="Book Antiqua" w:hAnsi="Book Antiqua"/>
                <w:sz w:val="20"/>
                <w:vertAlign w:val="superscript"/>
              </w:rPr>
              <w:t xml:space="preserve"> </w:t>
            </w:r>
          </w:p>
        </w:tc>
        <w:tc>
          <w:tcPr>
            <w:tcW w:w="1565"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Limestone Silo</w:t>
            </w:r>
          </w:p>
        </w:tc>
        <w:tc>
          <w:tcPr>
            <w:tcW w:w="1080"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1.54</w:t>
            </w:r>
          </w:p>
        </w:tc>
        <w:tc>
          <w:tcPr>
            <w:tcW w:w="1080" w:type="dxa"/>
            <w:vMerge w:val="restart"/>
            <w:tcBorders>
              <w:top w:val="single" w:sz="8" w:space="0" w:color="auto"/>
              <w:left w:val="single" w:sz="12"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Pr>
                <w:rFonts w:ascii="Book Antiqua" w:hAnsi="Book Antiqua"/>
                <w:sz w:val="20"/>
              </w:rPr>
              <w:t>1.54</w:t>
            </w:r>
          </w:p>
        </w:tc>
        <w:tc>
          <w:tcPr>
            <w:tcW w:w="1450" w:type="dxa"/>
            <w:vMerge w:val="restart"/>
            <w:tcBorders>
              <w:top w:val="single" w:sz="8" w:space="0" w:color="auto"/>
              <w:left w:val="single" w:sz="12"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sidRPr="00BB473B">
              <w:rPr>
                <w:rFonts w:ascii="Book Antiqua" w:hAnsi="Book Antiqua"/>
                <w:sz w:val="20"/>
              </w:rPr>
              <w:t>15</w:t>
            </w:r>
          </w:p>
        </w:tc>
        <w:tc>
          <w:tcPr>
            <w:tcW w:w="932" w:type="dxa"/>
            <w:vMerge w:val="restart"/>
            <w:tcBorders>
              <w:top w:val="single" w:sz="8" w:space="0" w:color="auto"/>
              <w:left w:val="single" w:sz="12" w:space="0" w:color="auto"/>
              <w:right w:val="single" w:sz="12" w:space="0" w:color="auto"/>
            </w:tcBorders>
            <w:vAlign w:val="center"/>
          </w:tcPr>
          <w:p w:rsidR="00EA08DD" w:rsidRPr="00BB473B" w:rsidRDefault="00EA08DD" w:rsidP="003B4F55">
            <w:pPr>
              <w:jc w:val="center"/>
              <w:rPr>
                <w:rFonts w:ascii="Book Antiqua" w:hAnsi="Book Antiqua"/>
              </w:rPr>
            </w:pPr>
            <w:r w:rsidRPr="00BB473B">
              <w:rPr>
                <w:rFonts w:ascii="Book Antiqua" w:hAnsi="Book Antiqua"/>
              </w:rPr>
              <w:t>No</w:t>
            </w:r>
          </w:p>
        </w:tc>
      </w:tr>
      <w:tr w:rsidR="00EA08DD" w:rsidRPr="00BB473B" w:rsidTr="003B4F55">
        <w:trPr>
          <w:trHeight w:val="86"/>
        </w:trPr>
        <w:tc>
          <w:tcPr>
            <w:tcW w:w="1045" w:type="dxa"/>
            <w:vMerge/>
            <w:tcBorders>
              <w:left w:val="single" w:sz="12" w:space="0" w:color="auto"/>
              <w:bottom w:val="single" w:sz="8"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p>
        </w:tc>
        <w:tc>
          <w:tcPr>
            <w:tcW w:w="1565" w:type="dxa"/>
            <w:tcBorders>
              <w:top w:val="single" w:sz="8" w:space="0" w:color="auto"/>
              <w:left w:val="single" w:sz="12" w:space="0" w:color="auto"/>
              <w:bottom w:val="single" w:sz="8" w:space="0" w:color="auto"/>
              <w:right w:val="single" w:sz="12" w:space="0" w:color="auto"/>
            </w:tcBorders>
          </w:tcPr>
          <w:p w:rsidR="00EA08DD" w:rsidRDefault="005063EE" w:rsidP="003B4F55">
            <w:pPr>
              <w:pStyle w:val="BodyText"/>
              <w:widowControl w:val="0"/>
              <w:spacing w:after="0"/>
              <w:jc w:val="center"/>
              <w:rPr>
                <w:rFonts w:ascii="Book Antiqua" w:hAnsi="Book Antiqua"/>
                <w:sz w:val="20"/>
              </w:rPr>
            </w:pPr>
            <w:r>
              <w:rPr>
                <w:rFonts w:ascii="Book Antiqua" w:hAnsi="Book Antiqua"/>
                <w:sz w:val="20"/>
              </w:rPr>
              <w:t>Kiln ESP dust</w:t>
            </w:r>
            <w:r w:rsidR="00EA08DD">
              <w:rPr>
                <w:rFonts w:ascii="Book Antiqua" w:hAnsi="Book Antiqua"/>
                <w:sz w:val="20"/>
              </w:rPr>
              <w:t xml:space="preserve"> Transport System Tie-In</w:t>
            </w:r>
          </w:p>
        </w:tc>
        <w:tc>
          <w:tcPr>
            <w:tcW w:w="1080"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vMerge/>
            <w:tcBorders>
              <w:left w:val="single" w:sz="12" w:space="0" w:color="auto"/>
              <w:bottom w:val="single" w:sz="8" w:space="0" w:color="auto"/>
              <w:right w:val="single" w:sz="12" w:space="0" w:color="auto"/>
            </w:tcBorders>
            <w:vAlign w:val="center"/>
          </w:tcPr>
          <w:p w:rsidR="00EA08DD" w:rsidRDefault="00EA08DD" w:rsidP="003B4F55">
            <w:pPr>
              <w:pStyle w:val="BodyText"/>
              <w:widowControl w:val="0"/>
              <w:spacing w:after="0"/>
              <w:jc w:val="center"/>
              <w:rPr>
                <w:rFonts w:ascii="Book Antiqua" w:hAnsi="Book Antiqua"/>
                <w:sz w:val="20"/>
              </w:rPr>
            </w:pPr>
          </w:p>
        </w:tc>
        <w:tc>
          <w:tcPr>
            <w:tcW w:w="1450" w:type="dxa"/>
            <w:vMerge/>
            <w:tcBorders>
              <w:left w:val="single" w:sz="12" w:space="0" w:color="auto"/>
              <w:bottom w:val="single" w:sz="8"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p>
        </w:tc>
        <w:tc>
          <w:tcPr>
            <w:tcW w:w="932" w:type="dxa"/>
            <w:vMerge/>
            <w:tcBorders>
              <w:left w:val="single" w:sz="12" w:space="0" w:color="auto"/>
              <w:bottom w:val="single" w:sz="8" w:space="0" w:color="auto"/>
              <w:right w:val="single" w:sz="12" w:space="0" w:color="auto"/>
            </w:tcBorders>
            <w:vAlign w:val="center"/>
          </w:tcPr>
          <w:p w:rsidR="00EA08DD" w:rsidRPr="00BB473B" w:rsidRDefault="00EA08DD" w:rsidP="003B4F55">
            <w:pPr>
              <w:jc w:val="center"/>
              <w:rPr>
                <w:rFonts w:ascii="Book Antiqua" w:hAnsi="Book Antiqua"/>
              </w:rPr>
            </w:pPr>
          </w:p>
        </w:tc>
      </w:tr>
      <w:tr w:rsidR="00EA08DD" w:rsidRPr="00BB473B" w:rsidTr="003B4F55">
        <w:trPr>
          <w:trHeight w:val="86"/>
        </w:trPr>
        <w:tc>
          <w:tcPr>
            <w:tcW w:w="1045" w:type="dxa"/>
            <w:tcBorders>
              <w:top w:val="single" w:sz="8" w:space="0" w:color="auto"/>
              <w:left w:val="single" w:sz="12" w:space="0" w:color="auto"/>
              <w:bottom w:val="single" w:sz="8"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Pr>
                <w:rFonts w:ascii="Book Antiqua" w:hAnsi="Book Antiqua"/>
                <w:sz w:val="20"/>
              </w:rPr>
              <w:t>PM</w:t>
            </w:r>
            <w:r w:rsidRPr="00D0796E">
              <w:rPr>
                <w:rFonts w:ascii="Book Antiqua" w:hAnsi="Book Antiqua"/>
                <w:sz w:val="20"/>
                <w:vertAlign w:val="subscript"/>
              </w:rPr>
              <w:t>2.5</w:t>
            </w:r>
          </w:p>
        </w:tc>
        <w:tc>
          <w:tcPr>
            <w:tcW w:w="1565"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Limestone Silo</w:t>
            </w:r>
          </w:p>
        </w:tc>
        <w:tc>
          <w:tcPr>
            <w:tcW w:w="1080"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1.54</w:t>
            </w:r>
          </w:p>
        </w:tc>
        <w:tc>
          <w:tcPr>
            <w:tcW w:w="1080" w:type="dxa"/>
            <w:vMerge w:val="restart"/>
            <w:tcBorders>
              <w:top w:val="single" w:sz="8" w:space="0" w:color="auto"/>
              <w:left w:val="single" w:sz="12"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Pr>
                <w:rFonts w:ascii="Book Antiqua" w:hAnsi="Book Antiqua"/>
                <w:sz w:val="20"/>
              </w:rPr>
              <w:t>1.54</w:t>
            </w:r>
          </w:p>
        </w:tc>
        <w:tc>
          <w:tcPr>
            <w:tcW w:w="1450" w:type="dxa"/>
            <w:vMerge w:val="restart"/>
            <w:tcBorders>
              <w:top w:val="single" w:sz="8" w:space="0" w:color="auto"/>
              <w:left w:val="single" w:sz="12" w:space="0" w:color="auto"/>
              <w:right w:val="single" w:sz="12" w:space="0" w:color="auto"/>
            </w:tcBorders>
            <w:vAlign w:val="center"/>
          </w:tcPr>
          <w:p w:rsidR="00EA08DD" w:rsidRPr="00BB473B" w:rsidRDefault="00EA08DD" w:rsidP="003B4F55">
            <w:pPr>
              <w:pStyle w:val="BodyText"/>
              <w:widowControl w:val="0"/>
              <w:spacing w:after="0"/>
              <w:jc w:val="center"/>
              <w:rPr>
                <w:rFonts w:ascii="Book Antiqua" w:hAnsi="Book Antiqua"/>
                <w:sz w:val="20"/>
              </w:rPr>
            </w:pPr>
            <w:r>
              <w:rPr>
                <w:rFonts w:ascii="Book Antiqua" w:hAnsi="Book Antiqua"/>
                <w:sz w:val="20"/>
              </w:rPr>
              <w:t>10</w:t>
            </w:r>
          </w:p>
        </w:tc>
        <w:tc>
          <w:tcPr>
            <w:tcW w:w="932" w:type="dxa"/>
            <w:vMerge w:val="restart"/>
            <w:tcBorders>
              <w:top w:val="single" w:sz="8" w:space="0" w:color="auto"/>
              <w:left w:val="single" w:sz="12" w:space="0" w:color="auto"/>
              <w:right w:val="single" w:sz="12" w:space="0" w:color="auto"/>
            </w:tcBorders>
            <w:vAlign w:val="center"/>
          </w:tcPr>
          <w:p w:rsidR="00EA08DD" w:rsidRPr="00BB473B" w:rsidRDefault="00EA08DD" w:rsidP="003B4F55">
            <w:pPr>
              <w:jc w:val="center"/>
              <w:rPr>
                <w:rFonts w:ascii="Book Antiqua" w:hAnsi="Book Antiqua"/>
              </w:rPr>
            </w:pPr>
            <w:r w:rsidRPr="00BB473B">
              <w:rPr>
                <w:rFonts w:ascii="Book Antiqua" w:hAnsi="Book Antiqua"/>
              </w:rPr>
              <w:t>No</w:t>
            </w:r>
          </w:p>
        </w:tc>
      </w:tr>
      <w:tr w:rsidR="00EA08DD" w:rsidRPr="00BB473B" w:rsidTr="003B4F55">
        <w:trPr>
          <w:trHeight w:val="86"/>
        </w:trPr>
        <w:tc>
          <w:tcPr>
            <w:tcW w:w="1045" w:type="dxa"/>
            <w:tcBorders>
              <w:top w:val="single" w:sz="8" w:space="0" w:color="auto"/>
              <w:left w:val="single" w:sz="12" w:space="0" w:color="auto"/>
              <w:bottom w:val="single" w:sz="8" w:space="0" w:color="auto"/>
              <w:right w:val="single" w:sz="12" w:space="0" w:color="auto"/>
            </w:tcBorders>
            <w:vAlign w:val="center"/>
          </w:tcPr>
          <w:p w:rsidR="00EA08DD" w:rsidRDefault="00EA08DD" w:rsidP="003B4F55">
            <w:pPr>
              <w:pStyle w:val="BodyText"/>
              <w:widowControl w:val="0"/>
              <w:spacing w:after="0"/>
              <w:jc w:val="center"/>
              <w:rPr>
                <w:rFonts w:ascii="Book Antiqua" w:hAnsi="Book Antiqua"/>
                <w:sz w:val="20"/>
              </w:rPr>
            </w:pPr>
          </w:p>
        </w:tc>
        <w:tc>
          <w:tcPr>
            <w:tcW w:w="1565" w:type="dxa"/>
            <w:tcBorders>
              <w:top w:val="single" w:sz="8" w:space="0" w:color="auto"/>
              <w:left w:val="single" w:sz="12" w:space="0" w:color="auto"/>
              <w:bottom w:val="single" w:sz="8" w:space="0" w:color="auto"/>
              <w:right w:val="single" w:sz="12" w:space="0" w:color="auto"/>
            </w:tcBorders>
          </w:tcPr>
          <w:p w:rsidR="00EA08DD" w:rsidRDefault="005063EE" w:rsidP="003B4F55">
            <w:pPr>
              <w:pStyle w:val="BodyText"/>
              <w:widowControl w:val="0"/>
              <w:spacing w:after="0"/>
              <w:jc w:val="center"/>
              <w:rPr>
                <w:rFonts w:ascii="Book Antiqua" w:hAnsi="Book Antiqua"/>
                <w:sz w:val="20"/>
              </w:rPr>
            </w:pPr>
            <w:r>
              <w:rPr>
                <w:rFonts w:ascii="Book Antiqua" w:hAnsi="Book Antiqua"/>
                <w:sz w:val="20"/>
              </w:rPr>
              <w:t>Kiln ESP dust</w:t>
            </w:r>
            <w:r w:rsidR="00EA08DD">
              <w:rPr>
                <w:rFonts w:ascii="Book Antiqua" w:hAnsi="Book Antiqua"/>
                <w:sz w:val="20"/>
              </w:rPr>
              <w:t xml:space="preserve"> Transport System Tie-In</w:t>
            </w:r>
          </w:p>
        </w:tc>
        <w:tc>
          <w:tcPr>
            <w:tcW w:w="1080"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tcBorders>
              <w:top w:val="single" w:sz="8" w:space="0" w:color="auto"/>
              <w:left w:val="single" w:sz="12" w:space="0" w:color="auto"/>
              <w:bottom w:val="single" w:sz="8" w:space="0" w:color="auto"/>
              <w:right w:val="single" w:sz="12" w:space="0" w:color="auto"/>
            </w:tcBorders>
          </w:tcPr>
          <w:p w:rsidR="00EA08DD" w:rsidRDefault="00EA08DD" w:rsidP="003B4F55">
            <w:pPr>
              <w:pStyle w:val="BodyText"/>
              <w:widowControl w:val="0"/>
              <w:spacing w:after="0"/>
              <w:jc w:val="center"/>
              <w:rPr>
                <w:rFonts w:ascii="Book Antiqua" w:hAnsi="Book Antiqua"/>
                <w:sz w:val="20"/>
              </w:rPr>
            </w:pPr>
            <w:r>
              <w:rPr>
                <w:rFonts w:ascii="Book Antiqua" w:hAnsi="Book Antiqua"/>
                <w:sz w:val="20"/>
              </w:rPr>
              <w:t>0</w:t>
            </w:r>
          </w:p>
        </w:tc>
        <w:tc>
          <w:tcPr>
            <w:tcW w:w="1080" w:type="dxa"/>
            <w:vMerge/>
            <w:tcBorders>
              <w:left w:val="single" w:sz="12" w:space="0" w:color="auto"/>
              <w:bottom w:val="single" w:sz="8" w:space="0" w:color="auto"/>
              <w:right w:val="single" w:sz="12" w:space="0" w:color="auto"/>
            </w:tcBorders>
            <w:vAlign w:val="center"/>
          </w:tcPr>
          <w:p w:rsidR="00EA08DD" w:rsidRDefault="00EA08DD" w:rsidP="003B4F55">
            <w:pPr>
              <w:pStyle w:val="BodyText"/>
              <w:widowControl w:val="0"/>
              <w:spacing w:after="0"/>
              <w:jc w:val="center"/>
              <w:rPr>
                <w:rFonts w:ascii="Book Antiqua" w:hAnsi="Book Antiqua"/>
                <w:sz w:val="20"/>
              </w:rPr>
            </w:pPr>
          </w:p>
        </w:tc>
        <w:tc>
          <w:tcPr>
            <w:tcW w:w="1450" w:type="dxa"/>
            <w:vMerge/>
            <w:tcBorders>
              <w:left w:val="single" w:sz="12" w:space="0" w:color="auto"/>
              <w:bottom w:val="single" w:sz="8" w:space="0" w:color="auto"/>
              <w:right w:val="single" w:sz="12" w:space="0" w:color="auto"/>
            </w:tcBorders>
            <w:vAlign w:val="center"/>
          </w:tcPr>
          <w:p w:rsidR="00EA08DD" w:rsidRDefault="00EA08DD" w:rsidP="003B4F55">
            <w:pPr>
              <w:pStyle w:val="BodyText"/>
              <w:widowControl w:val="0"/>
              <w:spacing w:after="0"/>
              <w:jc w:val="center"/>
              <w:rPr>
                <w:rFonts w:ascii="Book Antiqua" w:hAnsi="Book Antiqua"/>
                <w:sz w:val="20"/>
              </w:rPr>
            </w:pPr>
          </w:p>
        </w:tc>
        <w:tc>
          <w:tcPr>
            <w:tcW w:w="932" w:type="dxa"/>
            <w:vMerge/>
            <w:tcBorders>
              <w:left w:val="single" w:sz="12" w:space="0" w:color="auto"/>
              <w:bottom w:val="single" w:sz="8" w:space="0" w:color="auto"/>
              <w:right w:val="single" w:sz="12" w:space="0" w:color="auto"/>
            </w:tcBorders>
            <w:vAlign w:val="center"/>
          </w:tcPr>
          <w:p w:rsidR="00EA08DD" w:rsidRPr="00BB473B" w:rsidRDefault="00EA08DD" w:rsidP="003B4F55">
            <w:pPr>
              <w:jc w:val="center"/>
              <w:rPr>
                <w:rFonts w:ascii="Book Antiqua" w:hAnsi="Book Antiqua"/>
              </w:rPr>
            </w:pPr>
          </w:p>
        </w:tc>
      </w:tr>
    </w:tbl>
    <w:p w:rsidR="00BE4D2F" w:rsidRPr="00EA08DD" w:rsidRDefault="003B4F55">
      <w:pPr>
        <w:rPr>
          <w:rFonts w:ascii="Book Antiqua" w:hAnsi="Book Antiqua"/>
        </w:rPr>
      </w:pPr>
      <w:r>
        <w:rPr>
          <w:rFonts w:ascii="Book Antiqua" w:hAnsi="Book Antiqua"/>
          <w:vertAlign w:val="superscript"/>
        </w:rPr>
        <w:br w:type="textWrapping" w:clear="all"/>
      </w:r>
      <w:r w:rsidRPr="003B4F55">
        <w:rPr>
          <w:rFonts w:ascii="Book Antiqua" w:hAnsi="Book Antiqua"/>
          <w:vertAlign w:val="superscript"/>
        </w:rPr>
        <w:t>1</w:t>
      </w:r>
      <w:r w:rsidR="00BE4D2F" w:rsidRPr="00EA08DD">
        <w:rPr>
          <w:rFonts w:ascii="Book Antiqua" w:hAnsi="Book Antiqua"/>
        </w:rPr>
        <w:t>Emissions Units are not combustion sources, therefore only</w:t>
      </w:r>
      <w:r w:rsidR="00EA08DD" w:rsidRPr="00EA08DD">
        <w:rPr>
          <w:rFonts w:ascii="Book Antiqua" w:hAnsi="Book Antiqua"/>
        </w:rPr>
        <w:t xml:space="preserve"> pollutant is</w:t>
      </w:r>
      <w:r w:rsidR="00BE4D2F" w:rsidRPr="00EA08DD">
        <w:rPr>
          <w:rFonts w:ascii="Book Antiqua" w:hAnsi="Book Antiqua"/>
        </w:rPr>
        <w:t xml:space="preserve"> particulate matter emissions</w:t>
      </w:r>
    </w:p>
    <w:p w:rsidR="000A0BAC" w:rsidRDefault="00165C24" w:rsidP="005E0C43">
      <w:pPr>
        <w:widowControl w:val="0"/>
        <w:spacing w:after="120"/>
        <w:ind w:left="360"/>
        <w:rPr>
          <w:sz w:val="22"/>
          <w:szCs w:val="22"/>
        </w:rPr>
      </w:pPr>
      <w:r>
        <w:rPr>
          <w:sz w:val="22"/>
          <w:szCs w:val="22"/>
        </w:rPr>
        <w:t xml:space="preserve"> </w:t>
      </w:r>
    </w:p>
    <w:p w:rsidR="00215433" w:rsidRPr="00BB473B" w:rsidRDefault="00215433" w:rsidP="00215433">
      <w:pPr>
        <w:spacing w:after="120"/>
        <w:rPr>
          <w:rFonts w:ascii="Book Antiqua" w:hAnsi="Book Antiqua"/>
          <w:b/>
          <w:caps/>
          <w:sz w:val="22"/>
        </w:rPr>
      </w:pPr>
      <w:r w:rsidRPr="00BB473B">
        <w:rPr>
          <w:rFonts w:ascii="Book Antiqua" w:hAnsi="Book Antiqua"/>
          <w:b/>
          <w:caps/>
          <w:sz w:val="22"/>
        </w:rPr>
        <w:t xml:space="preserve">3.  </w:t>
      </w:r>
      <w:r>
        <w:rPr>
          <w:rFonts w:ascii="Book Antiqua" w:hAnsi="Book Antiqua"/>
          <w:b/>
          <w:caps/>
          <w:sz w:val="22"/>
        </w:rPr>
        <w:t xml:space="preserve">FLORIDA </w:t>
      </w:r>
      <w:r w:rsidRPr="00BB473B">
        <w:rPr>
          <w:rFonts w:ascii="Book Antiqua" w:hAnsi="Book Antiqua"/>
          <w:b/>
          <w:caps/>
          <w:sz w:val="22"/>
        </w:rPr>
        <w:t xml:space="preserve">Department </w:t>
      </w:r>
      <w:r>
        <w:rPr>
          <w:rFonts w:ascii="Book Antiqua" w:hAnsi="Book Antiqua"/>
          <w:b/>
          <w:caps/>
          <w:sz w:val="22"/>
        </w:rPr>
        <w:t xml:space="preserve">OF ENVIRONMENTAL PROTECTION (fdep) </w:t>
      </w:r>
      <w:r w:rsidRPr="00BB473B">
        <w:rPr>
          <w:rFonts w:ascii="Book Antiqua" w:hAnsi="Book Antiqua"/>
          <w:b/>
          <w:caps/>
          <w:sz w:val="22"/>
        </w:rPr>
        <w:t>Review</w:t>
      </w:r>
    </w:p>
    <w:p w:rsidR="00215433" w:rsidRDefault="00215433" w:rsidP="00215433">
      <w:pPr>
        <w:pStyle w:val="BodyText"/>
        <w:widowControl w:val="0"/>
        <w:jc w:val="both"/>
        <w:rPr>
          <w:rFonts w:ascii="Book Antiqua" w:hAnsi="Book Antiqua"/>
          <w:b/>
          <w:sz w:val="22"/>
          <w:szCs w:val="22"/>
        </w:rPr>
      </w:pPr>
      <w:r w:rsidRPr="00BB473B">
        <w:rPr>
          <w:rFonts w:ascii="Book Antiqua" w:hAnsi="Book Antiqua"/>
          <w:b/>
          <w:sz w:val="22"/>
          <w:szCs w:val="22"/>
        </w:rPr>
        <w:t>Brief Discussion of Emissions and PSD Applicability</w:t>
      </w:r>
    </w:p>
    <w:p w:rsidR="00215433" w:rsidRDefault="00215433" w:rsidP="00215433">
      <w:pPr>
        <w:spacing w:after="240"/>
        <w:rPr>
          <w:rFonts w:ascii="Book Antiqua" w:hAnsi="Book Antiqua"/>
          <w:sz w:val="22"/>
        </w:rPr>
      </w:pPr>
      <w:r w:rsidRPr="00E90403">
        <w:rPr>
          <w:rFonts w:ascii="Book Antiqua" w:hAnsi="Book Antiqua"/>
          <w:sz w:val="22"/>
          <w:szCs w:val="22"/>
        </w:rPr>
        <w:t xml:space="preserve">The Department concurs with the </w:t>
      </w:r>
      <w:r>
        <w:rPr>
          <w:rFonts w:ascii="Book Antiqua" w:hAnsi="Book Antiqua"/>
          <w:sz w:val="22"/>
          <w:szCs w:val="22"/>
        </w:rPr>
        <w:t xml:space="preserve">above </w:t>
      </w:r>
      <w:r w:rsidRPr="00E90403">
        <w:rPr>
          <w:rFonts w:ascii="Book Antiqua" w:hAnsi="Book Antiqua"/>
          <w:sz w:val="22"/>
          <w:szCs w:val="22"/>
        </w:rPr>
        <w:t xml:space="preserve">conclusion </w:t>
      </w:r>
      <w:r>
        <w:rPr>
          <w:rFonts w:ascii="Book Antiqua" w:hAnsi="Book Antiqua"/>
          <w:sz w:val="22"/>
          <w:szCs w:val="22"/>
        </w:rPr>
        <w:t xml:space="preserve">and summary </w:t>
      </w:r>
      <w:r w:rsidRPr="00E90403">
        <w:rPr>
          <w:rFonts w:ascii="Book Antiqua" w:hAnsi="Book Antiqua"/>
          <w:sz w:val="22"/>
          <w:szCs w:val="22"/>
        </w:rPr>
        <w:t xml:space="preserve">of the </w:t>
      </w:r>
      <w:r>
        <w:rPr>
          <w:rFonts w:ascii="Book Antiqua" w:hAnsi="Book Antiqua"/>
          <w:sz w:val="22"/>
          <w:szCs w:val="22"/>
        </w:rPr>
        <w:t xml:space="preserve">project. </w:t>
      </w:r>
    </w:p>
    <w:p w:rsidR="00215433" w:rsidRDefault="00215433" w:rsidP="00215433">
      <w:pPr>
        <w:pStyle w:val="Default"/>
        <w:spacing w:after="120"/>
        <w:rPr>
          <w:rFonts w:ascii="Book Antiqua" w:hAnsi="Book Antiqua"/>
          <w:sz w:val="22"/>
          <w:szCs w:val="22"/>
        </w:rPr>
      </w:pPr>
      <w:r w:rsidRPr="00BB473B">
        <w:rPr>
          <w:rFonts w:ascii="Book Antiqua" w:hAnsi="Book Antiqua"/>
          <w:sz w:val="22"/>
          <w:szCs w:val="22"/>
        </w:rPr>
        <w:t xml:space="preserve">Based on the </w:t>
      </w:r>
      <w:r>
        <w:rPr>
          <w:rFonts w:ascii="Book Antiqua" w:hAnsi="Book Antiqua"/>
          <w:sz w:val="22"/>
          <w:szCs w:val="22"/>
        </w:rPr>
        <w:t xml:space="preserve">potential emissions summary, </w:t>
      </w:r>
      <w:r w:rsidRPr="00BB473B">
        <w:rPr>
          <w:rFonts w:ascii="Book Antiqua" w:hAnsi="Book Antiqua"/>
          <w:sz w:val="22"/>
          <w:szCs w:val="22"/>
        </w:rPr>
        <w:t xml:space="preserve">supporting information provided by the applicant, </w:t>
      </w:r>
      <w:r>
        <w:rPr>
          <w:rFonts w:ascii="Book Antiqua" w:hAnsi="Book Antiqua"/>
          <w:sz w:val="22"/>
          <w:szCs w:val="22"/>
        </w:rPr>
        <w:t>conclusions presented by the applicant, and the emissions summary presented above,</w:t>
      </w:r>
      <w:r w:rsidRPr="00BB473B">
        <w:rPr>
          <w:rFonts w:ascii="Book Antiqua" w:hAnsi="Book Antiqua"/>
          <w:sz w:val="22"/>
          <w:szCs w:val="22"/>
        </w:rPr>
        <w:t xml:space="preserve"> the </w:t>
      </w:r>
      <w:r>
        <w:rPr>
          <w:rFonts w:ascii="Book Antiqua" w:hAnsi="Book Antiqua"/>
          <w:sz w:val="22"/>
          <w:szCs w:val="22"/>
        </w:rPr>
        <w:t xml:space="preserve">Department concludes </w:t>
      </w:r>
      <w:r w:rsidRPr="00BB473B">
        <w:rPr>
          <w:rFonts w:ascii="Book Antiqua" w:hAnsi="Book Antiqua"/>
          <w:sz w:val="22"/>
          <w:szCs w:val="22"/>
        </w:rPr>
        <w:t xml:space="preserve">that the project does not trigger PSD preconstruction review.  </w:t>
      </w:r>
    </w:p>
    <w:p w:rsidR="00A43347" w:rsidRDefault="00215433" w:rsidP="00215433">
      <w:pPr>
        <w:pStyle w:val="Default"/>
        <w:spacing w:after="120"/>
        <w:rPr>
          <w:rFonts w:ascii="Book Antiqua" w:hAnsi="Book Antiqua"/>
          <w:sz w:val="22"/>
          <w:szCs w:val="22"/>
        </w:rPr>
      </w:pPr>
      <w:r w:rsidRPr="00BB473B">
        <w:rPr>
          <w:rFonts w:ascii="Book Antiqua" w:hAnsi="Book Antiqua"/>
          <w:sz w:val="22"/>
          <w:szCs w:val="22"/>
        </w:rPr>
        <w:t xml:space="preserve">Therefore, the project requires a minor air construction permit to authorize the </w:t>
      </w:r>
      <w:r>
        <w:rPr>
          <w:rFonts w:ascii="Book Antiqua" w:hAnsi="Book Antiqua"/>
          <w:sz w:val="22"/>
          <w:szCs w:val="22"/>
        </w:rPr>
        <w:t>construction of the new limestone silo and ESP Kiln Dust Transport System Tie-In.</w:t>
      </w:r>
      <w:r w:rsidRPr="00BB473B">
        <w:rPr>
          <w:rFonts w:ascii="Book Antiqua" w:hAnsi="Book Antiqua"/>
          <w:sz w:val="22"/>
          <w:szCs w:val="22"/>
        </w:rPr>
        <w:t xml:space="preserve"> </w:t>
      </w:r>
      <w:r w:rsidR="00A43347">
        <w:rPr>
          <w:rFonts w:ascii="Book Antiqua" w:hAnsi="Book Antiqua"/>
          <w:sz w:val="22"/>
          <w:szCs w:val="22"/>
        </w:rPr>
        <w:t xml:space="preserve">  </w:t>
      </w:r>
      <w:r w:rsidR="003E753D">
        <w:rPr>
          <w:rFonts w:ascii="Book Antiqua" w:hAnsi="Book Antiqua"/>
          <w:sz w:val="22"/>
          <w:szCs w:val="22"/>
        </w:rPr>
        <w:t xml:space="preserve">In accordance with Rule 62-212.300(1)(e), F.A.C since </w:t>
      </w:r>
      <w:r w:rsidR="00A43347">
        <w:rPr>
          <w:rFonts w:ascii="Book Antiqua" w:hAnsi="Book Antiqua"/>
          <w:sz w:val="22"/>
          <w:szCs w:val="22"/>
        </w:rPr>
        <w:t xml:space="preserve">projected actual emissions calculations were not used </w:t>
      </w:r>
      <w:r w:rsidR="003E753D">
        <w:rPr>
          <w:rFonts w:ascii="Book Antiqua" w:hAnsi="Book Antiqua"/>
          <w:sz w:val="22"/>
          <w:szCs w:val="22"/>
        </w:rPr>
        <w:t>in the PSD applicability determination</w:t>
      </w:r>
      <w:r w:rsidR="00A43347">
        <w:rPr>
          <w:rFonts w:ascii="Book Antiqua" w:hAnsi="Book Antiqua"/>
          <w:sz w:val="22"/>
          <w:szCs w:val="22"/>
        </w:rPr>
        <w:t>, the permittee is</w:t>
      </w:r>
      <w:r w:rsidR="00A43347" w:rsidRPr="00A43347">
        <w:rPr>
          <w:rFonts w:ascii="Book Antiqua" w:hAnsi="Book Antiqua"/>
          <w:sz w:val="22"/>
          <w:szCs w:val="22"/>
        </w:rPr>
        <w:t xml:space="preserve"> </w:t>
      </w:r>
      <w:r w:rsidR="00A43347">
        <w:rPr>
          <w:rFonts w:ascii="Book Antiqua" w:hAnsi="Book Antiqua"/>
          <w:sz w:val="22"/>
          <w:szCs w:val="22"/>
        </w:rPr>
        <w:t xml:space="preserve">not required to submit annual emission estimates of actual emissions </w:t>
      </w:r>
      <w:r w:rsidR="003E753D">
        <w:rPr>
          <w:rFonts w:ascii="Book Antiqua" w:hAnsi="Book Antiqua"/>
          <w:sz w:val="22"/>
          <w:szCs w:val="22"/>
        </w:rPr>
        <w:t>after implementation of the project</w:t>
      </w:r>
      <w:r w:rsidR="00A43347">
        <w:rPr>
          <w:rFonts w:ascii="Book Antiqua" w:hAnsi="Book Antiqua"/>
          <w:sz w:val="22"/>
          <w:szCs w:val="22"/>
        </w:rPr>
        <w:t>.</w:t>
      </w:r>
    </w:p>
    <w:p w:rsidR="00A43347" w:rsidRDefault="00A43347" w:rsidP="00215433">
      <w:pPr>
        <w:pStyle w:val="Default"/>
        <w:spacing w:after="120"/>
        <w:rPr>
          <w:rFonts w:ascii="Book Antiqua" w:hAnsi="Book Antiqua"/>
          <w:sz w:val="22"/>
          <w:szCs w:val="22"/>
        </w:rPr>
      </w:pPr>
    </w:p>
    <w:p w:rsidR="00193F10" w:rsidRPr="00BB473B" w:rsidRDefault="009E0DC1">
      <w:pPr>
        <w:pStyle w:val="BodyText"/>
        <w:jc w:val="both"/>
        <w:rPr>
          <w:rFonts w:ascii="Book Antiqua" w:hAnsi="Book Antiqua"/>
          <w:b/>
          <w:sz w:val="22"/>
        </w:rPr>
      </w:pPr>
      <w:r w:rsidRPr="00BB473B">
        <w:rPr>
          <w:rFonts w:ascii="Book Antiqua" w:hAnsi="Book Antiqua"/>
          <w:b/>
          <w:sz w:val="22"/>
        </w:rPr>
        <w:t xml:space="preserve">NSPS </w:t>
      </w:r>
      <w:r w:rsidR="00AF06C3">
        <w:rPr>
          <w:rFonts w:ascii="Book Antiqua" w:hAnsi="Book Antiqua"/>
          <w:b/>
          <w:sz w:val="22"/>
        </w:rPr>
        <w:t xml:space="preserve">and NESHAP </w:t>
      </w:r>
      <w:r w:rsidRPr="00BB473B">
        <w:rPr>
          <w:rFonts w:ascii="Book Antiqua" w:hAnsi="Book Antiqua"/>
          <w:b/>
          <w:sz w:val="22"/>
        </w:rPr>
        <w:t>Applicability</w:t>
      </w:r>
      <w:r w:rsidR="00C31D77">
        <w:rPr>
          <w:rFonts w:ascii="Book Antiqua" w:hAnsi="Book Antiqua"/>
          <w:b/>
          <w:sz w:val="22"/>
        </w:rPr>
        <w:t xml:space="preserve"> – Limestone Silo</w:t>
      </w:r>
    </w:p>
    <w:p w:rsidR="006069BE" w:rsidRDefault="006069BE" w:rsidP="005F4C32">
      <w:pPr>
        <w:spacing w:after="240"/>
        <w:rPr>
          <w:rFonts w:ascii="Book Antiqua" w:hAnsi="Book Antiqua"/>
          <w:bCs/>
          <w:sz w:val="22"/>
          <w:szCs w:val="22"/>
        </w:rPr>
      </w:pPr>
      <w:r>
        <w:rPr>
          <w:rFonts w:ascii="Book Antiqua" w:hAnsi="Book Antiqua"/>
          <w:bCs/>
          <w:sz w:val="22"/>
          <w:szCs w:val="22"/>
        </w:rPr>
        <w:t>40 CFR 60 Subpart OOO</w:t>
      </w:r>
      <w:r w:rsidRPr="006069BE">
        <w:rPr>
          <w:rFonts w:ascii="Book Antiqua" w:hAnsi="Book Antiqua"/>
          <w:bCs/>
          <w:sz w:val="22"/>
          <w:szCs w:val="22"/>
        </w:rPr>
        <w:t xml:space="preserve">– </w:t>
      </w:r>
      <w:r w:rsidR="009939EE">
        <w:rPr>
          <w:rFonts w:ascii="Book Antiqua" w:hAnsi="Book Antiqua"/>
          <w:bCs/>
          <w:sz w:val="22"/>
          <w:szCs w:val="22"/>
        </w:rPr>
        <w:t xml:space="preserve">Standards of Performance for </w:t>
      </w:r>
      <w:r w:rsidRPr="006069BE">
        <w:rPr>
          <w:rFonts w:ascii="Book Antiqua" w:hAnsi="Book Antiqua"/>
          <w:bCs/>
          <w:sz w:val="22"/>
          <w:szCs w:val="22"/>
        </w:rPr>
        <w:t>Nonmetallic Mineral Processing Plants</w:t>
      </w:r>
    </w:p>
    <w:p w:rsidR="005F4C32" w:rsidRDefault="006069BE" w:rsidP="005F4C32">
      <w:pPr>
        <w:spacing w:after="240"/>
        <w:rPr>
          <w:rFonts w:ascii="Book Antiqua" w:hAnsi="Book Antiqua"/>
          <w:bCs/>
          <w:sz w:val="22"/>
          <w:szCs w:val="22"/>
        </w:rPr>
      </w:pPr>
      <w:r>
        <w:rPr>
          <w:rFonts w:ascii="Book Antiqua" w:hAnsi="Book Antiqua"/>
          <w:bCs/>
          <w:sz w:val="22"/>
          <w:szCs w:val="22"/>
        </w:rPr>
        <w:t xml:space="preserve">In accordance with 40 CFR </w:t>
      </w:r>
      <w:r w:rsidRPr="006069BE">
        <w:rPr>
          <w:rFonts w:ascii="Book Antiqua" w:hAnsi="Book Antiqua"/>
          <w:bCs/>
          <w:sz w:val="22"/>
          <w:szCs w:val="22"/>
        </w:rPr>
        <w:t>60.670(b)</w:t>
      </w:r>
      <w:r>
        <w:rPr>
          <w:rFonts w:ascii="Book Antiqua" w:hAnsi="Book Antiqua"/>
          <w:bCs/>
          <w:sz w:val="22"/>
          <w:szCs w:val="22"/>
        </w:rPr>
        <w:t>, an affected facility that is subject to the provision of 40 CFR 60 Subparts F or I or that follows in the plant process any facility subject to the provisions of 40 CFR 60 Subparts F or I is not subject to the provisions of this subpart</w:t>
      </w:r>
      <w:r w:rsidRPr="006069BE">
        <w:rPr>
          <w:rFonts w:ascii="Book Antiqua" w:hAnsi="Book Antiqua"/>
          <w:bCs/>
          <w:sz w:val="22"/>
          <w:szCs w:val="22"/>
        </w:rPr>
        <w:t>.</w:t>
      </w:r>
      <w:r>
        <w:rPr>
          <w:rFonts w:ascii="Book Antiqua" w:hAnsi="Book Antiqua"/>
          <w:bCs/>
          <w:sz w:val="22"/>
          <w:szCs w:val="22"/>
        </w:rPr>
        <w:t xml:space="preserve">  The new limestone silo will store limestone ground in the Raw Mills, which are facilities subject to the provisions of 40 CFR </w:t>
      </w:r>
      <w:r w:rsidR="004A1F5A">
        <w:rPr>
          <w:rFonts w:ascii="Book Antiqua" w:hAnsi="Book Antiqua"/>
          <w:bCs/>
          <w:sz w:val="22"/>
          <w:szCs w:val="22"/>
        </w:rPr>
        <w:t xml:space="preserve">60 </w:t>
      </w:r>
      <w:r>
        <w:rPr>
          <w:rFonts w:ascii="Book Antiqua" w:hAnsi="Book Antiqua"/>
          <w:bCs/>
          <w:sz w:val="22"/>
          <w:szCs w:val="22"/>
        </w:rPr>
        <w:t>Subpart F.   As such, t</w:t>
      </w:r>
      <w:r w:rsidRPr="006069BE">
        <w:rPr>
          <w:rFonts w:ascii="Book Antiqua" w:hAnsi="Book Antiqua"/>
          <w:bCs/>
          <w:sz w:val="22"/>
          <w:szCs w:val="22"/>
        </w:rPr>
        <w:t xml:space="preserve">he new limestone silo </w:t>
      </w:r>
      <w:r w:rsidRPr="006069BE">
        <w:rPr>
          <w:rFonts w:ascii="Book Antiqua" w:hAnsi="Book Antiqua"/>
          <w:bCs/>
          <w:sz w:val="22"/>
          <w:szCs w:val="22"/>
          <w:u w:val="single"/>
        </w:rPr>
        <w:t>is not</w:t>
      </w:r>
      <w:r w:rsidRPr="006069BE">
        <w:rPr>
          <w:rFonts w:ascii="Book Antiqua" w:hAnsi="Book Antiqua"/>
          <w:bCs/>
          <w:sz w:val="22"/>
          <w:szCs w:val="22"/>
        </w:rPr>
        <w:t xml:space="preserve"> subject to the provisions of 40 CFR 60 S</w:t>
      </w:r>
      <w:r>
        <w:rPr>
          <w:rFonts w:ascii="Book Antiqua" w:hAnsi="Book Antiqua"/>
          <w:bCs/>
          <w:sz w:val="22"/>
          <w:szCs w:val="22"/>
        </w:rPr>
        <w:t>ub</w:t>
      </w:r>
      <w:r w:rsidRPr="006069BE">
        <w:rPr>
          <w:rFonts w:ascii="Book Antiqua" w:hAnsi="Book Antiqua"/>
          <w:bCs/>
          <w:sz w:val="22"/>
          <w:szCs w:val="22"/>
        </w:rPr>
        <w:t>part OOO – Nonmetallic Mineral Processing Plants</w:t>
      </w:r>
      <w:r>
        <w:rPr>
          <w:rFonts w:ascii="Book Antiqua" w:hAnsi="Book Antiqua"/>
          <w:bCs/>
          <w:sz w:val="22"/>
          <w:szCs w:val="22"/>
        </w:rPr>
        <w:t xml:space="preserve">.  </w:t>
      </w:r>
    </w:p>
    <w:p w:rsidR="006069BE" w:rsidRDefault="006069BE" w:rsidP="005F4C32">
      <w:pPr>
        <w:spacing w:after="240"/>
        <w:rPr>
          <w:rFonts w:ascii="Book Antiqua" w:hAnsi="Book Antiqua"/>
          <w:bCs/>
          <w:sz w:val="22"/>
          <w:szCs w:val="22"/>
        </w:rPr>
      </w:pPr>
      <w:r>
        <w:rPr>
          <w:rFonts w:ascii="Book Antiqua" w:hAnsi="Book Antiqua"/>
          <w:bCs/>
          <w:sz w:val="22"/>
          <w:szCs w:val="22"/>
        </w:rPr>
        <w:t>40 CFR 60 Subpart F – Portland Cement Plants</w:t>
      </w:r>
    </w:p>
    <w:p w:rsidR="006069BE" w:rsidRDefault="006069BE" w:rsidP="005F4C32">
      <w:pPr>
        <w:spacing w:after="240"/>
        <w:rPr>
          <w:rFonts w:ascii="Book Antiqua" w:hAnsi="Book Antiqua"/>
          <w:sz w:val="22"/>
          <w:szCs w:val="22"/>
        </w:rPr>
      </w:pPr>
      <w:r w:rsidRPr="005F4C32">
        <w:rPr>
          <w:rFonts w:ascii="Book Antiqua" w:hAnsi="Book Antiqua"/>
          <w:sz w:val="22"/>
          <w:szCs w:val="22"/>
        </w:rPr>
        <w:t>This federal regulation applies to all Portland cement plants constructed, reconstructed or modified after August 17, 1971. </w:t>
      </w:r>
      <w:r w:rsidR="00C31D77">
        <w:rPr>
          <w:rFonts w:ascii="Book Antiqua" w:hAnsi="Book Antiqua"/>
          <w:sz w:val="22"/>
          <w:szCs w:val="22"/>
        </w:rPr>
        <w:t xml:space="preserve">  This proposed silo </w:t>
      </w:r>
      <w:r w:rsidR="009816BA">
        <w:rPr>
          <w:rFonts w:ascii="Book Antiqua" w:hAnsi="Book Antiqua"/>
          <w:sz w:val="22"/>
          <w:szCs w:val="22"/>
        </w:rPr>
        <w:t>is considered to be raw material storage and therefore is an affected facility pursuant to 40 CFR 60.60(a).</w:t>
      </w:r>
    </w:p>
    <w:p w:rsidR="009816BA" w:rsidRPr="00AF5407" w:rsidRDefault="00AF5407" w:rsidP="009816BA">
      <w:pPr>
        <w:pStyle w:val="NormalWeb"/>
        <w:rPr>
          <w:rFonts w:ascii="Book Antiqua" w:hAnsi="Book Antiqua"/>
          <w:sz w:val="22"/>
          <w:szCs w:val="22"/>
        </w:rPr>
      </w:pPr>
      <w:r>
        <w:rPr>
          <w:rFonts w:ascii="Book Antiqua" w:hAnsi="Book Antiqua"/>
          <w:sz w:val="22"/>
          <w:szCs w:val="22"/>
        </w:rPr>
        <w:t xml:space="preserve">Pursuant to the provisions of </w:t>
      </w:r>
      <w:r w:rsidR="009816BA">
        <w:rPr>
          <w:rFonts w:ascii="Book Antiqua" w:hAnsi="Book Antiqua"/>
          <w:sz w:val="22"/>
          <w:szCs w:val="22"/>
        </w:rPr>
        <w:t xml:space="preserve">40 CFR 60.62(c), </w:t>
      </w:r>
      <w:r w:rsidRPr="00AF5407">
        <w:rPr>
          <w:rFonts w:ascii="Book Antiqua" w:hAnsi="Book Antiqua"/>
          <w:sz w:val="22"/>
          <w:szCs w:val="22"/>
        </w:rPr>
        <w:t xml:space="preserve">the </w:t>
      </w:r>
      <w:r>
        <w:rPr>
          <w:rFonts w:ascii="Book Antiqua" w:hAnsi="Book Antiqua"/>
          <w:sz w:val="22"/>
          <w:szCs w:val="22"/>
        </w:rPr>
        <w:t xml:space="preserve">limestone </w:t>
      </w:r>
      <w:r w:rsidRPr="00AF5407">
        <w:rPr>
          <w:rFonts w:ascii="Book Antiqua" w:hAnsi="Book Antiqua"/>
          <w:sz w:val="22"/>
          <w:szCs w:val="22"/>
        </w:rPr>
        <w:t xml:space="preserve">silo </w:t>
      </w:r>
      <w:r>
        <w:rPr>
          <w:rFonts w:ascii="Book Antiqua" w:hAnsi="Book Antiqua"/>
          <w:sz w:val="22"/>
          <w:szCs w:val="22"/>
        </w:rPr>
        <w:t>ma</w:t>
      </w:r>
      <w:r w:rsidR="009816BA">
        <w:rPr>
          <w:rFonts w:ascii="Book Antiqua" w:hAnsi="Book Antiqua"/>
          <w:sz w:val="22"/>
          <w:szCs w:val="22"/>
        </w:rPr>
        <w:t xml:space="preserve">y </w:t>
      </w:r>
      <w:r>
        <w:rPr>
          <w:rFonts w:ascii="Book Antiqua" w:hAnsi="Book Antiqua"/>
          <w:sz w:val="22"/>
          <w:szCs w:val="22"/>
        </w:rPr>
        <w:t xml:space="preserve">not discharge any </w:t>
      </w:r>
      <w:r w:rsidR="009816BA" w:rsidRPr="00AF5407">
        <w:rPr>
          <w:rFonts w:ascii="Book Antiqua" w:hAnsi="Book Antiqua"/>
          <w:sz w:val="22"/>
          <w:szCs w:val="22"/>
        </w:rPr>
        <w:t xml:space="preserve">gases </w:t>
      </w:r>
      <w:r>
        <w:rPr>
          <w:rFonts w:ascii="Book Antiqua" w:hAnsi="Book Antiqua"/>
          <w:sz w:val="22"/>
          <w:szCs w:val="22"/>
        </w:rPr>
        <w:t>that</w:t>
      </w:r>
      <w:r w:rsidR="009816BA" w:rsidRPr="00AF5407">
        <w:rPr>
          <w:rFonts w:ascii="Book Antiqua" w:hAnsi="Book Antiqua"/>
          <w:sz w:val="22"/>
          <w:szCs w:val="22"/>
        </w:rPr>
        <w:t xml:space="preserve"> exhibit 10 percent opacity or greater</w:t>
      </w:r>
      <w:r>
        <w:rPr>
          <w:rFonts w:ascii="Book Antiqua" w:hAnsi="Book Antiqua"/>
          <w:sz w:val="22"/>
          <w:szCs w:val="22"/>
        </w:rPr>
        <w:t>.</w:t>
      </w:r>
      <w:r w:rsidRPr="00AF5407">
        <w:rPr>
          <w:rFonts w:ascii="Book Antiqua" w:hAnsi="Book Antiqua"/>
          <w:sz w:val="22"/>
          <w:szCs w:val="22"/>
        </w:rPr>
        <w:t xml:space="preserve">  </w:t>
      </w:r>
      <w:r w:rsidR="009816BA" w:rsidRPr="00AF5407">
        <w:rPr>
          <w:rFonts w:ascii="Book Antiqua" w:hAnsi="Book Antiqua"/>
          <w:sz w:val="22"/>
          <w:szCs w:val="22"/>
        </w:rPr>
        <w:t xml:space="preserve"> </w:t>
      </w:r>
    </w:p>
    <w:p w:rsidR="00AF5407" w:rsidRPr="00C86CE3" w:rsidRDefault="00AF5407" w:rsidP="00AF5407">
      <w:pPr>
        <w:pStyle w:val="NormalWeb"/>
        <w:rPr>
          <w:rFonts w:ascii="Book Antiqua" w:hAnsi="Book Antiqua"/>
          <w:sz w:val="22"/>
          <w:szCs w:val="22"/>
        </w:rPr>
      </w:pPr>
      <w:r w:rsidRPr="00C86CE3">
        <w:rPr>
          <w:rFonts w:ascii="Book Antiqua" w:hAnsi="Book Antiqua"/>
          <w:sz w:val="22"/>
          <w:szCs w:val="22"/>
        </w:rPr>
        <w:t xml:space="preserve">40 CFR 60.62(d) states that if an affected source subject to 40 CFR 60 Subpart F </w:t>
      </w:r>
      <w:r w:rsidR="00C86CE3" w:rsidRPr="00C86CE3">
        <w:rPr>
          <w:rFonts w:ascii="Book Antiqua" w:hAnsi="Book Antiqua"/>
          <w:sz w:val="22"/>
          <w:szCs w:val="22"/>
        </w:rPr>
        <w:t xml:space="preserve">is subject to a </w:t>
      </w:r>
      <w:r w:rsidRPr="00C86CE3">
        <w:rPr>
          <w:rFonts w:ascii="Book Antiqua" w:hAnsi="Book Antiqua"/>
          <w:sz w:val="22"/>
          <w:szCs w:val="22"/>
        </w:rPr>
        <w:t xml:space="preserve">different emission limit or requirement for the same pollutant under another regulation in title 40 of this chapter, </w:t>
      </w:r>
      <w:r w:rsidR="00C86CE3" w:rsidRPr="00C86CE3">
        <w:rPr>
          <w:rFonts w:ascii="Book Antiqua" w:hAnsi="Book Antiqua"/>
          <w:sz w:val="22"/>
          <w:szCs w:val="22"/>
        </w:rPr>
        <w:t xml:space="preserve">the source must </w:t>
      </w:r>
      <w:r w:rsidRPr="00C86CE3">
        <w:rPr>
          <w:rFonts w:ascii="Book Antiqua" w:hAnsi="Book Antiqua"/>
          <w:sz w:val="22"/>
          <w:szCs w:val="22"/>
        </w:rPr>
        <w:t xml:space="preserve">comply with the most stringent emission limit or requirement and </w:t>
      </w:r>
      <w:r w:rsidR="00C86CE3" w:rsidRPr="00C86CE3">
        <w:rPr>
          <w:rFonts w:ascii="Book Antiqua" w:hAnsi="Book Antiqua"/>
          <w:sz w:val="22"/>
          <w:szCs w:val="22"/>
        </w:rPr>
        <w:t>is</w:t>
      </w:r>
      <w:r w:rsidRPr="00C86CE3">
        <w:rPr>
          <w:rFonts w:ascii="Book Antiqua" w:hAnsi="Book Antiqua"/>
          <w:sz w:val="22"/>
          <w:szCs w:val="22"/>
        </w:rPr>
        <w:t xml:space="preserve"> not subject to the less stringent requirement.</w:t>
      </w:r>
    </w:p>
    <w:p w:rsidR="009816BA" w:rsidRDefault="00C86CE3" w:rsidP="005F4C32">
      <w:pPr>
        <w:spacing w:after="240"/>
        <w:rPr>
          <w:rFonts w:ascii="Book Antiqua" w:hAnsi="Book Antiqua"/>
          <w:bCs/>
          <w:sz w:val="22"/>
          <w:szCs w:val="22"/>
        </w:rPr>
      </w:pPr>
      <w:r>
        <w:rPr>
          <w:rFonts w:ascii="Book Antiqua" w:hAnsi="Book Antiqua"/>
          <w:bCs/>
          <w:sz w:val="22"/>
          <w:szCs w:val="22"/>
        </w:rPr>
        <w:t xml:space="preserve">The limestone silo will also be an affected source under 40 CFR 63 Subpart LLL – </w:t>
      </w:r>
      <w:r w:rsidRPr="00C86CE3">
        <w:rPr>
          <w:rFonts w:ascii="Book Antiqua" w:hAnsi="Book Antiqua"/>
          <w:bCs/>
          <w:sz w:val="22"/>
          <w:szCs w:val="22"/>
        </w:rPr>
        <w:t>National Emission Standards for Hazardous Air Pollutants From the Portland Cement Manufacturing Industry</w:t>
      </w:r>
      <w:r>
        <w:rPr>
          <w:rFonts w:ascii="Book Antiqua" w:hAnsi="Book Antiqua"/>
          <w:bCs/>
          <w:sz w:val="22"/>
          <w:szCs w:val="22"/>
        </w:rPr>
        <w:t>.  This silo meets the definition of a bin under §63.1341</w:t>
      </w:r>
      <w:r w:rsidR="009819DB">
        <w:rPr>
          <w:rFonts w:ascii="Book Antiqua" w:hAnsi="Book Antiqua"/>
          <w:bCs/>
          <w:sz w:val="22"/>
          <w:szCs w:val="22"/>
        </w:rPr>
        <w:t xml:space="preserve">, and therefore is an affected source per §63.1340(b)(6) </w:t>
      </w:r>
      <w:r>
        <w:rPr>
          <w:rFonts w:ascii="Book Antiqua" w:hAnsi="Book Antiqua"/>
          <w:bCs/>
          <w:sz w:val="22"/>
          <w:szCs w:val="22"/>
        </w:rPr>
        <w:t xml:space="preserve">.   </w:t>
      </w:r>
    </w:p>
    <w:p w:rsidR="009819DB" w:rsidRPr="00AF5407" w:rsidRDefault="009819DB" w:rsidP="009819DB">
      <w:pPr>
        <w:pStyle w:val="NormalWeb"/>
        <w:rPr>
          <w:rFonts w:ascii="Book Antiqua" w:hAnsi="Book Antiqua"/>
          <w:sz w:val="22"/>
          <w:szCs w:val="22"/>
        </w:rPr>
      </w:pPr>
      <w:r>
        <w:rPr>
          <w:rFonts w:ascii="Book Antiqua" w:hAnsi="Book Antiqua"/>
          <w:sz w:val="22"/>
          <w:szCs w:val="22"/>
        </w:rPr>
        <w:t xml:space="preserve">Pursuant to the provisions of 40 CFR 63.1345, </w:t>
      </w:r>
      <w:r w:rsidRPr="00AF5407">
        <w:rPr>
          <w:rFonts w:ascii="Book Antiqua" w:hAnsi="Book Antiqua"/>
          <w:sz w:val="22"/>
          <w:szCs w:val="22"/>
        </w:rPr>
        <w:t xml:space="preserve">the </w:t>
      </w:r>
      <w:r>
        <w:rPr>
          <w:rFonts w:ascii="Book Antiqua" w:hAnsi="Book Antiqua"/>
          <w:sz w:val="22"/>
          <w:szCs w:val="22"/>
        </w:rPr>
        <w:t xml:space="preserve">limestone </w:t>
      </w:r>
      <w:r w:rsidRPr="00AF5407">
        <w:rPr>
          <w:rFonts w:ascii="Book Antiqua" w:hAnsi="Book Antiqua"/>
          <w:sz w:val="22"/>
          <w:szCs w:val="22"/>
        </w:rPr>
        <w:t xml:space="preserve">silo </w:t>
      </w:r>
      <w:r>
        <w:rPr>
          <w:rFonts w:ascii="Book Antiqua" w:hAnsi="Book Antiqua"/>
          <w:sz w:val="22"/>
          <w:szCs w:val="22"/>
        </w:rPr>
        <w:t xml:space="preserve">may not discharge any </w:t>
      </w:r>
      <w:r w:rsidRPr="00AF5407">
        <w:rPr>
          <w:rFonts w:ascii="Book Antiqua" w:hAnsi="Book Antiqua"/>
          <w:sz w:val="22"/>
          <w:szCs w:val="22"/>
        </w:rPr>
        <w:t xml:space="preserve">gases </w:t>
      </w:r>
      <w:r>
        <w:rPr>
          <w:rFonts w:ascii="Book Antiqua" w:hAnsi="Book Antiqua"/>
          <w:sz w:val="22"/>
          <w:szCs w:val="22"/>
        </w:rPr>
        <w:t>that</w:t>
      </w:r>
      <w:r w:rsidRPr="00AF5407">
        <w:rPr>
          <w:rFonts w:ascii="Book Antiqua" w:hAnsi="Book Antiqua"/>
          <w:sz w:val="22"/>
          <w:szCs w:val="22"/>
        </w:rPr>
        <w:t xml:space="preserve"> exhibit </w:t>
      </w:r>
      <w:r>
        <w:rPr>
          <w:rFonts w:ascii="Book Antiqua" w:hAnsi="Book Antiqua"/>
          <w:sz w:val="22"/>
          <w:szCs w:val="22"/>
        </w:rPr>
        <w:t xml:space="preserve">opacity in excess of </w:t>
      </w:r>
      <w:r w:rsidRPr="00AF5407">
        <w:rPr>
          <w:rFonts w:ascii="Book Antiqua" w:hAnsi="Book Antiqua"/>
          <w:sz w:val="22"/>
          <w:szCs w:val="22"/>
        </w:rPr>
        <w:t>10 percent</w:t>
      </w:r>
      <w:r>
        <w:rPr>
          <w:rFonts w:ascii="Book Antiqua" w:hAnsi="Book Antiqua"/>
          <w:sz w:val="22"/>
          <w:szCs w:val="22"/>
        </w:rPr>
        <w:t>.</w:t>
      </w:r>
      <w:r w:rsidRPr="00AF5407">
        <w:rPr>
          <w:rFonts w:ascii="Book Antiqua" w:hAnsi="Book Antiqua"/>
          <w:sz w:val="22"/>
          <w:szCs w:val="22"/>
        </w:rPr>
        <w:t xml:space="preserve">   </w:t>
      </w:r>
    </w:p>
    <w:p w:rsidR="0076283D" w:rsidRPr="0076283D" w:rsidRDefault="009819DB" w:rsidP="0076283D">
      <w:pPr>
        <w:spacing w:after="240"/>
        <w:rPr>
          <w:rFonts w:ascii="Book Antiqua" w:hAnsi="Book Antiqua"/>
          <w:sz w:val="22"/>
          <w:szCs w:val="22"/>
        </w:rPr>
      </w:pPr>
      <w:r>
        <w:rPr>
          <w:rFonts w:ascii="Book Antiqua" w:hAnsi="Book Antiqua"/>
          <w:sz w:val="22"/>
          <w:szCs w:val="22"/>
        </w:rPr>
        <w:t xml:space="preserve">The 40 CFR 60 Subpart F, 60.62(c) standard is more stringent therefore, pursuant to 40 CFR 60.62(d) and also 40 CFR 63. 1356, the 40 CFR 63 Subpart LLL 63.1345 standard does not apply.  </w:t>
      </w:r>
      <w:r w:rsidR="0076283D">
        <w:rPr>
          <w:rFonts w:ascii="Book Antiqua" w:hAnsi="Book Antiqua"/>
          <w:sz w:val="22"/>
          <w:szCs w:val="22"/>
        </w:rPr>
        <w:t>It is noted that th</w:t>
      </w:r>
      <w:r w:rsidR="0076283D" w:rsidRPr="0076283D">
        <w:rPr>
          <w:rFonts w:ascii="Book Antiqua" w:hAnsi="Book Antiqua"/>
          <w:sz w:val="22"/>
          <w:szCs w:val="22"/>
        </w:rPr>
        <w:t xml:space="preserve">e other applicable </w:t>
      </w:r>
      <w:r w:rsidR="00356EB6">
        <w:rPr>
          <w:rFonts w:ascii="Book Antiqua" w:hAnsi="Book Antiqua"/>
          <w:sz w:val="22"/>
          <w:szCs w:val="22"/>
        </w:rPr>
        <w:t>S</w:t>
      </w:r>
      <w:r w:rsidR="0076283D" w:rsidRPr="0076283D">
        <w:rPr>
          <w:rFonts w:ascii="Book Antiqua" w:hAnsi="Book Antiqua"/>
          <w:sz w:val="22"/>
          <w:szCs w:val="22"/>
        </w:rPr>
        <w:t xml:space="preserve">ubpart F and </w:t>
      </w:r>
      <w:r w:rsidR="00356EB6">
        <w:rPr>
          <w:rFonts w:ascii="Book Antiqua" w:hAnsi="Book Antiqua"/>
          <w:sz w:val="22"/>
          <w:szCs w:val="22"/>
        </w:rPr>
        <w:t>S</w:t>
      </w:r>
      <w:r w:rsidR="0076283D" w:rsidRPr="0076283D">
        <w:rPr>
          <w:rFonts w:ascii="Book Antiqua" w:hAnsi="Book Antiqua"/>
          <w:sz w:val="22"/>
          <w:szCs w:val="22"/>
        </w:rPr>
        <w:t xml:space="preserve">ubpart LLL requirements </w:t>
      </w:r>
      <w:r w:rsidR="0076283D">
        <w:rPr>
          <w:rFonts w:ascii="Book Antiqua" w:hAnsi="Book Antiqua"/>
          <w:sz w:val="22"/>
          <w:szCs w:val="22"/>
        </w:rPr>
        <w:t xml:space="preserve">do </w:t>
      </w:r>
      <w:r w:rsidR="0076283D" w:rsidRPr="0076283D">
        <w:rPr>
          <w:rFonts w:ascii="Book Antiqua" w:hAnsi="Book Antiqua"/>
          <w:sz w:val="22"/>
          <w:szCs w:val="22"/>
        </w:rPr>
        <w:t xml:space="preserve">apply (testing, monitoring, recordkeeping, reporting, etc.). </w:t>
      </w:r>
    </w:p>
    <w:p w:rsidR="00CC35CE" w:rsidRDefault="00356EB6" w:rsidP="005F4C32">
      <w:pPr>
        <w:spacing w:after="240"/>
        <w:rPr>
          <w:rFonts w:ascii="Book Antiqua" w:hAnsi="Book Antiqua" w:cs="TimesNewRomanPSMT"/>
          <w:sz w:val="22"/>
          <w:szCs w:val="22"/>
        </w:rPr>
      </w:pPr>
      <w:r>
        <w:rPr>
          <w:rFonts w:ascii="Book Antiqua" w:hAnsi="Book Antiqua" w:cs="TimesNewRomanPSMT"/>
          <w:sz w:val="22"/>
          <w:szCs w:val="22"/>
        </w:rPr>
        <w:t xml:space="preserve">In accordance with 40 CFR 60.64(b)(3), an initial Method 9 test is required to demonstrate compliance with the opacity standard.  </w:t>
      </w:r>
      <w:r w:rsidR="007871B3">
        <w:rPr>
          <w:rFonts w:ascii="Book Antiqua" w:hAnsi="Book Antiqua" w:cs="TimesNewRomanPSMT"/>
          <w:sz w:val="22"/>
          <w:szCs w:val="22"/>
        </w:rPr>
        <w:t xml:space="preserve"> </w:t>
      </w:r>
      <w:r w:rsidR="00CC35CE">
        <w:rPr>
          <w:rFonts w:ascii="Book Antiqua" w:hAnsi="Book Antiqua" w:cs="TimesNewRomanPSMT"/>
          <w:sz w:val="22"/>
          <w:szCs w:val="22"/>
        </w:rPr>
        <w:t>In accordance with 40 CFR 60.11</w:t>
      </w:r>
      <w:r w:rsidR="005C68E8">
        <w:rPr>
          <w:rFonts w:ascii="Book Antiqua" w:hAnsi="Book Antiqua" w:cs="TimesNewRomanPSMT"/>
          <w:sz w:val="22"/>
          <w:szCs w:val="22"/>
        </w:rPr>
        <w:t>(b)</w:t>
      </w:r>
      <w:r w:rsidR="00CC35CE">
        <w:rPr>
          <w:rFonts w:ascii="Book Antiqua" w:hAnsi="Book Antiqua" w:cs="TimesNewRomanPSMT"/>
          <w:sz w:val="22"/>
          <w:szCs w:val="22"/>
        </w:rPr>
        <w:t>, this initial visible emissions test will be a three hour test</w:t>
      </w:r>
      <w:r w:rsidR="005C68E8">
        <w:rPr>
          <w:rFonts w:ascii="Book Antiqua" w:hAnsi="Book Antiqua" w:cs="TimesNewRomanPSMT"/>
          <w:sz w:val="22"/>
          <w:szCs w:val="22"/>
        </w:rPr>
        <w:t xml:space="preserve"> </w:t>
      </w:r>
      <w:r w:rsidR="005C68E8" w:rsidRPr="0074431D">
        <w:rPr>
          <w:rFonts w:ascii="Book Antiqua" w:hAnsi="Book Antiqua"/>
          <w:sz w:val="22"/>
          <w:szCs w:val="22"/>
        </w:rPr>
        <w:t>(thirty 6-minute averages)</w:t>
      </w:r>
      <w:r w:rsidR="00CC35CE">
        <w:rPr>
          <w:rFonts w:ascii="Book Antiqua" w:hAnsi="Book Antiqua" w:cs="TimesNewRomanPSMT"/>
          <w:sz w:val="22"/>
          <w:szCs w:val="22"/>
        </w:rPr>
        <w:t xml:space="preserve">.  </w:t>
      </w:r>
    </w:p>
    <w:p w:rsidR="00356EB6" w:rsidRDefault="007871B3" w:rsidP="005F4C32">
      <w:pPr>
        <w:spacing w:after="240"/>
        <w:rPr>
          <w:rFonts w:ascii="Book Antiqua" w:hAnsi="Book Antiqua" w:cs="TimesNewRomanPSMT"/>
          <w:sz w:val="22"/>
          <w:szCs w:val="22"/>
        </w:rPr>
      </w:pPr>
      <w:r>
        <w:rPr>
          <w:rFonts w:ascii="Book Antiqua" w:hAnsi="Book Antiqua" w:cs="TimesNewRomanPSMT"/>
          <w:sz w:val="22"/>
          <w:szCs w:val="22"/>
        </w:rPr>
        <w:t xml:space="preserve">State Rule 62-2197.310(7)(a), F.A.C. specifies the frequency of subsequent opacity testing </w:t>
      </w:r>
      <w:r w:rsidR="00B9569C">
        <w:rPr>
          <w:rFonts w:ascii="Book Antiqua" w:hAnsi="Book Antiqua" w:cs="TimesNewRomanPSMT"/>
          <w:sz w:val="22"/>
          <w:szCs w:val="22"/>
        </w:rPr>
        <w:t>since</w:t>
      </w:r>
      <w:r>
        <w:rPr>
          <w:rFonts w:ascii="Book Antiqua" w:hAnsi="Book Antiqua" w:cs="TimesNewRomanPSMT"/>
          <w:sz w:val="22"/>
          <w:szCs w:val="22"/>
        </w:rPr>
        <w:t xml:space="preserve"> the NSPS subpart does not specify </w:t>
      </w:r>
      <w:r w:rsidR="00B9569C">
        <w:rPr>
          <w:rFonts w:ascii="Book Antiqua" w:hAnsi="Book Antiqua" w:cs="TimesNewRomanPSMT"/>
          <w:sz w:val="22"/>
          <w:szCs w:val="22"/>
        </w:rPr>
        <w:t xml:space="preserve">a </w:t>
      </w:r>
      <w:r>
        <w:rPr>
          <w:rFonts w:ascii="Book Antiqua" w:hAnsi="Book Antiqua" w:cs="TimesNewRomanPSMT"/>
          <w:sz w:val="22"/>
          <w:szCs w:val="22"/>
        </w:rPr>
        <w:t>subsequent demonstrations of compliance.</w:t>
      </w:r>
      <w:r w:rsidR="00356EB6">
        <w:rPr>
          <w:rFonts w:ascii="Book Antiqua" w:hAnsi="Book Antiqua" w:cs="TimesNewRomanPSMT"/>
          <w:sz w:val="22"/>
          <w:szCs w:val="22"/>
        </w:rPr>
        <w:t xml:space="preserve"> </w:t>
      </w:r>
    </w:p>
    <w:p w:rsidR="00356EB6" w:rsidRPr="00B9569C" w:rsidRDefault="00B9569C" w:rsidP="00356EB6">
      <w:pPr>
        <w:autoSpaceDE w:val="0"/>
        <w:autoSpaceDN w:val="0"/>
        <w:adjustRightInd w:val="0"/>
        <w:rPr>
          <w:rFonts w:ascii="Book Antiqua" w:hAnsi="Book Antiqua" w:cs="TimesNewRomanPSMT"/>
          <w:sz w:val="22"/>
          <w:szCs w:val="22"/>
        </w:rPr>
      </w:pPr>
      <w:r w:rsidRPr="00B9569C">
        <w:rPr>
          <w:rFonts w:ascii="Book Antiqua" w:hAnsi="Book Antiqua" w:cs="TimesNewRomanPSMT"/>
          <w:sz w:val="22"/>
          <w:szCs w:val="22"/>
        </w:rPr>
        <w:t xml:space="preserve">State </w:t>
      </w:r>
      <w:r w:rsidR="00356EB6" w:rsidRPr="00B9569C">
        <w:rPr>
          <w:rFonts w:ascii="Book Antiqua" w:hAnsi="Book Antiqua" w:cs="TimesNewRomanPSMT"/>
          <w:sz w:val="22"/>
          <w:szCs w:val="22"/>
        </w:rPr>
        <w:t xml:space="preserve">Rule 62-297.310(7)(a)1., F.A.C., requires that </w:t>
      </w:r>
      <w:r w:rsidRPr="00B9569C">
        <w:rPr>
          <w:rFonts w:ascii="Book Antiqua" w:hAnsi="Book Antiqua" w:cs="TimesNewRomanPSMT"/>
          <w:sz w:val="22"/>
          <w:szCs w:val="22"/>
        </w:rPr>
        <w:t>a</w:t>
      </w:r>
      <w:r w:rsidR="00356EB6" w:rsidRPr="00B9569C">
        <w:rPr>
          <w:rFonts w:ascii="Book Antiqua" w:hAnsi="Book Antiqua" w:cs="TimesNewRomanPSMT"/>
          <w:sz w:val="22"/>
          <w:szCs w:val="22"/>
        </w:rPr>
        <w:t xml:space="preserve"> compliance test be conducted that demonstrates compliance with the applicable emissions limiting standard prior to obtaining an operation permit.  </w:t>
      </w:r>
      <w:r w:rsidRPr="00B9569C">
        <w:rPr>
          <w:rFonts w:ascii="Book Antiqua" w:hAnsi="Book Antiqua" w:cs="TimesNewRomanPSMT"/>
          <w:sz w:val="22"/>
          <w:szCs w:val="22"/>
        </w:rPr>
        <w:t xml:space="preserve">Therefore, a compliance test shall be conducted at least prior to obtaining an operation permit, </w:t>
      </w:r>
      <w:r w:rsidR="00BF7702" w:rsidRPr="00B9569C">
        <w:rPr>
          <w:rFonts w:ascii="Book Antiqua" w:hAnsi="Book Antiqua" w:cs="TimesNewRomanPSMT"/>
          <w:sz w:val="22"/>
          <w:szCs w:val="22"/>
        </w:rPr>
        <w:t>i.e.</w:t>
      </w:r>
      <w:r w:rsidRPr="00B9569C">
        <w:rPr>
          <w:rFonts w:ascii="Book Antiqua" w:hAnsi="Book Antiqua" w:cs="TimesNewRomanPSMT"/>
          <w:sz w:val="22"/>
          <w:szCs w:val="22"/>
        </w:rPr>
        <w:t xml:space="preserve"> at least on a 5-year basis prior to operation permit renewal.</w:t>
      </w:r>
    </w:p>
    <w:p w:rsidR="00B9569C" w:rsidRPr="00B9569C" w:rsidRDefault="00B9569C" w:rsidP="00356EB6">
      <w:pPr>
        <w:autoSpaceDE w:val="0"/>
        <w:autoSpaceDN w:val="0"/>
        <w:adjustRightInd w:val="0"/>
        <w:rPr>
          <w:rFonts w:ascii="Book Antiqua" w:hAnsi="Book Antiqua" w:cs="TimesNewRomanPSMT"/>
          <w:sz w:val="22"/>
          <w:szCs w:val="22"/>
        </w:rPr>
      </w:pPr>
    </w:p>
    <w:p w:rsidR="00356EB6" w:rsidRDefault="00B9569C" w:rsidP="00356EB6">
      <w:pPr>
        <w:autoSpaceDE w:val="0"/>
        <w:autoSpaceDN w:val="0"/>
        <w:adjustRightInd w:val="0"/>
        <w:rPr>
          <w:rFonts w:ascii="Book Antiqua" w:hAnsi="Book Antiqua" w:cs="TimesNewRomanPSMT"/>
          <w:sz w:val="22"/>
          <w:szCs w:val="22"/>
        </w:rPr>
      </w:pPr>
      <w:r w:rsidRPr="00B9569C">
        <w:rPr>
          <w:rFonts w:ascii="Book Antiqua" w:hAnsi="Book Antiqua" w:cs="TimesNewRomanPSMT"/>
          <w:sz w:val="22"/>
          <w:szCs w:val="22"/>
        </w:rPr>
        <w:t xml:space="preserve">State </w:t>
      </w:r>
      <w:r w:rsidR="00356EB6" w:rsidRPr="00B9569C">
        <w:rPr>
          <w:rFonts w:ascii="Book Antiqua" w:hAnsi="Book Antiqua" w:cs="TimesNewRomanPSMT"/>
          <w:sz w:val="22"/>
          <w:szCs w:val="22"/>
        </w:rPr>
        <w:t xml:space="preserve">Rule 62-297.310 (7)(a)4.a., F.A.C., states that if there is an applicable standard, a formal compliance test shall be conducted for visible emissions during each federal fiscal year (October 1 – September 30), unless otherwise specified by rule, order, or permit.  This rule does allow for exceptions to the annual visible emissions compliance test if they are established by rule, order, or permit.  </w:t>
      </w:r>
    </w:p>
    <w:p w:rsidR="00B9569C" w:rsidRPr="00B9569C" w:rsidRDefault="00B9569C" w:rsidP="00356EB6">
      <w:pPr>
        <w:autoSpaceDE w:val="0"/>
        <w:autoSpaceDN w:val="0"/>
        <w:adjustRightInd w:val="0"/>
        <w:rPr>
          <w:rFonts w:ascii="Book Antiqua" w:hAnsi="Book Antiqua" w:cs="TimesNewRomanPSMT"/>
          <w:sz w:val="22"/>
          <w:szCs w:val="22"/>
        </w:rPr>
      </w:pPr>
    </w:p>
    <w:p w:rsidR="0076283D" w:rsidRDefault="00356EB6" w:rsidP="00B9569C">
      <w:pPr>
        <w:spacing w:after="240"/>
        <w:rPr>
          <w:rFonts w:ascii="Book Antiqua" w:hAnsi="Book Antiqua" w:cs="TimesNewRomanPSMT"/>
          <w:sz w:val="22"/>
          <w:szCs w:val="22"/>
        </w:rPr>
      </w:pPr>
      <w:r>
        <w:rPr>
          <w:rFonts w:ascii="Book Antiqua" w:hAnsi="Book Antiqua" w:cs="TimesNewRomanPSMT"/>
          <w:sz w:val="22"/>
          <w:szCs w:val="22"/>
        </w:rPr>
        <w:t xml:space="preserve">The Department </w:t>
      </w:r>
      <w:r w:rsidR="00B9569C">
        <w:rPr>
          <w:rFonts w:ascii="Book Antiqua" w:hAnsi="Book Antiqua" w:cs="TimesNewRomanPSMT"/>
          <w:sz w:val="22"/>
          <w:szCs w:val="22"/>
        </w:rPr>
        <w:t xml:space="preserve">has </w:t>
      </w:r>
      <w:r>
        <w:rPr>
          <w:rFonts w:ascii="Book Antiqua" w:hAnsi="Book Antiqua" w:cs="TimesNewRomanPSMT"/>
          <w:sz w:val="22"/>
          <w:szCs w:val="22"/>
        </w:rPr>
        <w:t xml:space="preserve">determined that </w:t>
      </w:r>
      <w:r w:rsidR="00B9569C">
        <w:rPr>
          <w:rFonts w:ascii="Book Antiqua" w:hAnsi="Book Antiqua" w:cs="TimesNewRomanPSMT"/>
          <w:sz w:val="22"/>
          <w:szCs w:val="22"/>
        </w:rPr>
        <w:t>a</w:t>
      </w:r>
      <w:r>
        <w:rPr>
          <w:rFonts w:ascii="Book Antiqua" w:hAnsi="Book Antiqua" w:cs="TimesNewRomanPSMT"/>
          <w:sz w:val="22"/>
          <w:szCs w:val="22"/>
        </w:rPr>
        <w:t xml:space="preserve"> </w:t>
      </w:r>
      <w:r w:rsidR="00B9569C">
        <w:rPr>
          <w:rFonts w:ascii="Book Antiqua" w:hAnsi="Book Antiqua" w:cs="TimesNewRomanPSMT"/>
          <w:sz w:val="22"/>
          <w:szCs w:val="22"/>
        </w:rPr>
        <w:t xml:space="preserve">subsequent </w:t>
      </w:r>
      <w:r>
        <w:rPr>
          <w:rFonts w:ascii="Book Antiqua" w:hAnsi="Book Antiqua" w:cs="TimesNewRomanPSMT"/>
          <w:sz w:val="22"/>
          <w:szCs w:val="22"/>
        </w:rPr>
        <w:t xml:space="preserve">testing frequency </w:t>
      </w:r>
      <w:r w:rsidR="00B9569C">
        <w:rPr>
          <w:rFonts w:ascii="Book Antiqua" w:hAnsi="Book Antiqua" w:cs="TimesNewRomanPSMT"/>
          <w:sz w:val="22"/>
          <w:szCs w:val="22"/>
        </w:rPr>
        <w:t xml:space="preserve">in accordance with State Rule 62-297.310(7)(a)1., F.A.C. is </w:t>
      </w:r>
      <w:r>
        <w:rPr>
          <w:rFonts w:ascii="Book Antiqua" w:hAnsi="Book Antiqua" w:cs="TimesNewRomanPSMT"/>
          <w:sz w:val="22"/>
          <w:szCs w:val="22"/>
        </w:rPr>
        <w:t xml:space="preserve">reasonable </w:t>
      </w:r>
      <w:r w:rsidR="00B9569C">
        <w:rPr>
          <w:rFonts w:ascii="Book Antiqua" w:hAnsi="Book Antiqua" w:cs="TimesNewRomanPSMT"/>
          <w:sz w:val="22"/>
          <w:szCs w:val="22"/>
        </w:rPr>
        <w:t xml:space="preserve">since the this would be the frequency had the </w:t>
      </w:r>
      <w:r w:rsidR="00781432">
        <w:rPr>
          <w:rFonts w:ascii="Book Antiqua" w:hAnsi="Book Antiqua" w:cs="TimesNewRomanPSMT"/>
          <w:sz w:val="22"/>
          <w:szCs w:val="22"/>
        </w:rPr>
        <w:t xml:space="preserve">limestone </w:t>
      </w:r>
      <w:r w:rsidR="00B9569C">
        <w:rPr>
          <w:rFonts w:ascii="Book Antiqua" w:hAnsi="Book Antiqua" w:cs="TimesNewRomanPSMT"/>
          <w:sz w:val="22"/>
          <w:szCs w:val="22"/>
        </w:rPr>
        <w:t>silo been subject to the 40 CFR 63 Subpart LLL 63.1345 opacity standard.</w:t>
      </w:r>
    </w:p>
    <w:p w:rsidR="005C68E8" w:rsidRDefault="005C68E8" w:rsidP="00B9569C">
      <w:pPr>
        <w:spacing w:after="240"/>
        <w:rPr>
          <w:rFonts w:ascii="Book Antiqua" w:hAnsi="Book Antiqua" w:cs="TimesNewRomanPSMT"/>
          <w:sz w:val="22"/>
          <w:szCs w:val="22"/>
        </w:rPr>
      </w:pPr>
      <w:r>
        <w:rPr>
          <w:rFonts w:ascii="Book Antiqua" w:hAnsi="Book Antiqua"/>
          <w:sz w:val="22"/>
          <w:szCs w:val="22"/>
        </w:rPr>
        <w:t xml:space="preserve">In accordance with </w:t>
      </w:r>
      <w:r w:rsidRPr="0074431D">
        <w:rPr>
          <w:rFonts w:ascii="Book Antiqua" w:hAnsi="Book Antiqua"/>
          <w:sz w:val="22"/>
          <w:szCs w:val="22"/>
        </w:rPr>
        <w:t>Rule 62-297.310(4)(a)2., F.A.C.</w:t>
      </w:r>
      <w:r>
        <w:rPr>
          <w:rFonts w:ascii="Book Antiqua" w:hAnsi="Book Antiqua"/>
          <w:sz w:val="22"/>
          <w:szCs w:val="22"/>
        </w:rPr>
        <w:t>, t</w:t>
      </w:r>
      <w:r w:rsidRPr="0074431D">
        <w:rPr>
          <w:rFonts w:ascii="Book Antiqua" w:hAnsi="Book Antiqua"/>
          <w:sz w:val="22"/>
          <w:szCs w:val="22"/>
        </w:rPr>
        <w:t xml:space="preserve">he required minimum period of observation for each </w:t>
      </w:r>
      <w:r>
        <w:rPr>
          <w:rFonts w:ascii="Book Antiqua" w:hAnsi="Book Antiqua"/>
          <w:sz w:val="22"/>
          <w:szCs w:val="22"/>
        </w:rPr>
        <w:t xml:space="preserve">subsequent </w:t>
      </w:r>
      <w:r w:rsidRPr="0074431D">
        <w:rPr>
          <w:rFonts w:ascii="Book Antiqua" w:hAnsi="Book Antiqua"/>
          <w:sz w:val="22"/>
          <w:szCs w:val="22"/>
        </w:rPr>
        <w:t xml:space="preserve">compliance test shall be thirty (30) minutes.  </w:t>
      </w:r>
    </w:p>
    <w:p w:rsidR="007039A6" w:rsidRDefault="007039A6" w:rsidP="00B9569C">
      <w:pPr>
        <w:spacing w:after="240"/>
        <w:rPr>
          <w:rFonts w:ascii="Book Antiqua" w:hAnsi="Book Antiqua" w:cs="TimesNewRomanPSMT"/>
          <w:sz w:val="22"/>
          <w:szCs w:val="22"/>
        </w:rPr>
      </w:pPr>
      <w:r>
        <w:rPr>
          <w:rFonts w:ascii="Book Antiqua" w:hAnsi="Book Antiqua" w:cs="TimesNewRomanPSMT"/>
          <w:sz w:val="22"/>
          <w:szCs w:val="22"/>
        </w:rPr>
        <w:t xml:space="preserve">In accordance with </w:t>
      </w:r>
      <w:r w:rsidRPr="00236B48">
        <w:rPr>
          <w:rFonts w:ascii="Book Antiqua" w:hAnsi="Book Antiqua" w:cs="TimesNewRomanPSMT"/>
          <w:sz w:val="22"/>
          <w:szCs w:val="22"/>
        </w:rPr>
        <w:t>40 CFR 60.64(b)(4)</w:t>
      </w:r>
      <w:r>
        <w:rPr>
          <w:rFonts w:ascii="Book Antiqua" w:hAnsi="Book Antiqua" w:cs="TimesNewRomanPSMT"/>
          <w:sz w:val="22"/>
          <w:szCs w:val="22"/>
        </w:rPr>
        <w:t>, the continuous monitoring procedures in 40 CFR 63.1350(f), must be followed for the silo, which is monthly Method 22 visible emissions testing.</w:t>
      </w:r>
    </w:p>
    <w:p w:rsidR="00781432" w:rsidRDefault="00781432" w:rsidP="00B9569C">
      <w:pPr>
        <w:spacing w:after="240"/>
        <w:rPr>
          <w:rFonts w:ascii="Book Antiqua" w:hAnsi="Book Antiqua"/>
          <w:sz w:val="22"/>
          <w:szCs w:val="22"/>
        </w:rPr>
      </w:pPr>
      <w:r>
        <w:rPr>
          <w:rFonts w:ascii="Book Antiqua" w:hAnsi="Book Antiqua" w:cs="TimesNewRomanPSMT"/>
          <w:sz w:val="22"/>
          <w:szCs w:val="22"/>
        </w:rPr>
        <w:t xml:space="preserve">In accordance with 40 CFR 63 Subpart LLL 63.1347, </w:t>
      </w:r>
      <w:r w:rsidRPr="005B23AF">
        <w:rPr>
          <w:rFonts w:ascii="Book Antiqua" w:hAnsi="Book Antiqua" w:cs="TimesNewRomanPSMT"/>
          <w:sz w:val="22"/>
          <w:szCs w:val="22"/>
        </w:rPr>
        <w:t>a written operation and maintenance (O&amp;M) plan</w:t>
      </w:r>
      <w:r>
        <w:rPr>
          <w:rFonts w:ascii="Book Antiqua" w:hAnsi="Book Antiqua" w:cs="TimesNewRomanPSMT"/>
          <w:sz w:val="22"/>
          <w:szCs w:val="22"/>
        </w:rPr>
        <w:t xml:space="preserve"> must be prepared and followed for the limestone silo.</w:t>
      </w:r>
    </w:p>
    <w:p w:rsidR="00CC35CE" w:rsidRPr="00BB473B" w:rsidRDefault="00CC35CE" w:rsidP="00CC35CE">
      <w:pPr>
        <w:pStyle w:val="BodyText"/>
        <w:jc w:val="both"/>
        <w:rPr>
          <w:rFonts w:ascii="Book Antiqua" w:hAnsi="Book Antiqua"/>
          <w:b/>
          <w:sz w:val="22"/>
        </w:rPr>
      </w:pPr>
      <w:r w:rsidRPr="00BB473B">
        <w:rPr>
          <w:rFonts w:ascii="Book Antiqua" w:hAnsi="Book Antiqua"/>
          <w:b/>
          <w:sz w:val="22"/>
        </w:rPr>
        <w:t xml:space="preserve">NSPS </w:t>
      </w:r>
      <w:r>
        <w:rPr>
          <w:rFonts w:ascii="Book Antiqua" w:hAnsi="Book Antiqua"/>
          <w:b/>
          <w:sz w:val="22"/>
        </w:rPr>
        <w:t xml:space="preserve">and NESHAP </w:t>
      </w:r>
      <w:r w:rsidRPr="00BB473B">
        <w:rPr>
          <w:rFonts w:ascii="Book Antiqua" w:hAnsi="Book Antiqua"/>
          <w:b/>
          <w:sz w:val="22"/>
        </w:rPr>
        <w:t>Applicability</w:t>
      </w:r>
      <w:r>
        <w:rPr>
          <w:rFonts w:ascii="Book Antiqua" w:hAnsi="Book Antiqua"/>
          <w:b/>
          <w:sz w:val="22"/>
        </w:rPr>
        <w:t xml:space="preserve"> – </w:t>
      </w:r>
      <w:r w:rsidR="005063EE">
        <w:rPr>
          <w:rFonts w:ascii="Book Antiqua" w:hAnsi="Book Antiqua"/>
          <w:b/>
          <w:sz w:val="22"/>
        </w:rPr>
        <w:t xml:space="preserve">Kiln ESP </w:t>
      </w:r>
      <w:r w:rsidR="00F02FDD">
        <w:rPr>
          <w:rFonts w:ascii="Book Antiqua" w:hAnsi="Book Antiqua"/>
          <w:b/>
          <w:sz w:val="22"/>
        </w:rPr>
        <w:t>D</w:t>
      </w:r>
      <w:r w:rsidR="005063EE">
        <w:rPr>
          <w:rFonts w:ascii="Book Antiqua" w:hAnsi="Book Antiqua"/>
          <w:b/>
          <w:sz w:val="22"/>
        </w:rPr>
        <w:t>ust</w:t>
      </w:r>
      <w:r>
        <w:rPr>
          <w:rFonts w:ascii="Book Antiqua" w:hAnsi="Book Antiqua"/>
          <w:b/>
          <w:sz w:val="22"/>
        </w:rPr>
        <w:t xml:space="preserve"> Transport System Tie-In</w:t>
      </w:r>
    </w:p>
    <w:p w:rsidR="005C68E8" w:rsidRDefault="005C68E8" w:rsidP="005C68E8">
      <w:pPr>
        <w:spacing w:after="240"/>
        <w:rPr>
          <w:rFonts w:ascii="Book Antiqua" w:hAnsi="Book Antiqua"/>
          <w:bCs/>
          <w:sz w:val="22"/>
          <w:szCs w:val="22"/>
        </w:rPr>
      </w:pPr>
      <w:r>
        <w:rPr>
          <w:rFonts w:ascii="Book Antiqua" w:hAnsi="Book Antiqua"/>
          <w:bCs/>
          <w:sz w:val="22"/>
          <w:szCs w:val="22"/>
        </w:rPr>
        <w:t>40 CFR 60 Subpart F – Portland Cement Plants</w:t>
      </w:r>
    </w:p>
    <w:p w:rsidR="005C68E8" w:rsidRDefault="005C68E8" w:rsidP="005C68E8">
      <w:pPr>
        <w:spacing w:after="240"/>
        <w:rPr>
          <w:rFonts w:ascii="Book Antiqua" w:hAnsi="Book Antiqua"/>
          <w:sz w:val="22"/>
          <w:szCs w:val="22"/>
        </w:rPr>
      </w:pPr>
      <w:r w:rsidRPr="005F4C32">
        <w:rPr>
          <w:rFonts w:ascii="Book Antiqua" w:hAnsi="Book Antiqua"/>
          <w:sz w:val="22"/>
          <w:szCs w:val="22"/>
        </w:rPr>
        <w:t>This federal regulation applies to all Portland cement plants constructed, reconstructed or modified after August 17, 1971. </w:t>
      </w:r>
      <w:r>
        <w:rPr>
          <w:rFonts w:ascii="Book Antiqua" w:hAnsi="Book Antiqua"/>
          <w:sz w:val="22"/>
          <w:szCs w:val="22"/>
        </w:rPr>
        <w:t xml:space="preserve">  Affected sources include conveyor </w:t>
      </w:r>
      <w:r w:rsidR="006F5D91">
        <w:rPr>
          <w:rFonts w:ascii="Book Antiqua" w:hAnsi="Book Antiqua"/>
          <w:sz w:val="22"/>
          <w:szCs w:val="22"/>
        </w:rPr>
        <w:t>system tran</w:t>
      </w:r>
      <w:r w:rsidR="00266F9F">
        <w:rPr>
          <w:rFonts w:ascii="Book Antiqua" w:hAnsi="Book Antiqua"/>
          <w:sz w:val="22"/>
          <w:szCs w:val="22"/>
        </w:rPr>
        <w:t>sfer</w:t>
      </w:r>
      <w:r w:rsidR="006F5D91">
        <w:rPr>
          <w:rFonts w:ascii="Book Antiqua" w:hAnsi="Book Antiqua"/>
          <w:sz w:val="22"/>
          <w:szCs w:val="22"/>
        </w:rPr>
        <w:t xml:space="preserve"> points.  </w:t>
      </w:r>
      <w:r>
        <w:rPr>
          <w:rFonts w:ascii="Book Antiqua" w:hAnsi="Book Antiqua"/>
          <w:sz w:val="22"/>
          <w:szCs w:val="22"/>
        </w:rPr>
        <w:t xml:space="preserve">This proposed </w:t>
      </w:r>
      <w:r w:rsidR="005063EE">
        <w:rPr>
          <w:rFonts w:ascii="Book Antiqua" w:hAnsi="Book Antiqua"/>
          <w:sz w:val="22"/>
          <w:szCs w:val="22"/>
        </w:rPr>
        <w:t>Kiln ESP dust</w:t>
      </w:r>
      <w:r>
        <w:rPr>
          <w:rFonts w:ascii="Book Antiqua" w:hAnsi="Book Antiqua"/>
          <w:sz w:val="22"/>
          <w:szCs w:val="22"/>
        </w:rPr>
        <w:t xml:space="preserve"> Transport system tie-in is considered to be an affected facility pursuant to 40 CFR 60.60(a).</w:t>
      </w:r>
    </w:p>
    <w:p w:rsidR="005C68E8" w:rsidRPr="00AF5407" w:rsidRDefault="005C68E8" w:rsidP="005C68E8">
      <w:pPr>
        <w:pStyle w:val="NormalWeb"/>
        <w:rPr>
          <w:rFonts w:ascii="Book Antiqua" w:hAnsi="Book Antiqua"/>
          <w:sz w:val="22"/>
          <w:szCs w:val="22"/>
        </w:rPr>
      </w:pPr>
      <w:r>
        <w:rPr>
          <w:rFonts w:ascii="Book Antiqua" w:hAnsi="Book Antiqua"/>
          <w:sz w:val="22"/>
          <w:szCs w:val="22"/>
        </w:rPr>
        <w:t xml:space="preserve">Pursuant to the provisions of 40 CFR 60.62(c), </w:t>
      </w:r>
      <w:r>
        <w:rPr>
          <w:rFonts w:ascii="Book Antiqua" w:hAnsi="Book Antiqua"/>
          <w:bCs/>
          <w:iCs/>
          <w:sz w:val="22"/>
          <w:szCs w:val="22"/>
        </w:rPr>
        <w:t>conveying system transfer</w:t>
      </w:r>
      <w:r w:rsidRPr="001E5DC5">
        <w:rPr>
          <w:rFonts w:ascii="Book Antiqua" w:hAnsi="Book Antiqua"/>
          <w:bCs/>
          <w:iCs/>
          <w:sz w:val="22"/>
          <w:szCs w:val="22"/>
        </w:rPr>
        <w:t xml:space="preserve"> point</w:t>
      </w:r>
      <w:r w:rsidR="00B079AF">
        <w:rPr>
          <w:rFonts w:ascii="Book Antiqua" w:hAnsi="Book Antiqua"/>
          <w:bCs/>
          <w:iCs/>
          <w:sz w:val="22"/>
          <w:szCs w:val="22"/>
        </w:rPr>
        <w:t>s</w:t>
      </w:r>
      <w:r w:rsidRPr="001E5DC5">
        <w:rPr>
          <w:rFonts w:ascii="Book Antiqua" w:hAnsi="Book Antiqua"/>
          <w:bCs/>
          <w:iCs/>
          <w:sz w:val="22"/>
          <w:szCs w:val="22"/>
        </w:rPr>
        <w:t xml:space="preserve"> </w:t>
      </w:r>
      <w:r>
        <w:rPr>
          <w:rFonts w:ascii="Book Antiqua" w:hAnsi="Book Antiqua"/>
          <w:bCs/>
          <w:iCs/>
          <w:sz w:val="22"/>
          <w:szCs w:val="22"/>
        </w:rPr>
        <w:t xml:space="preserve">in the </w:t>
      </w:r>
      <w:r w:rsidR="005063EE">
        <w:rPr>
          <w:rFonts w:ascii="Book Antiqua" w:hAnsi="Book Antiqua"/>
          <w:sz w:val="22"/>
          <w:szCs w:val="22"/>
        </w:rPr>
        <w:t>Kiln ESP dust</w:t>
      </w:r>
      <w:r>
        <w:rPr>
          <w:rFonts w:ascii="Book Antiqua" w:hAnsi="Book Antiqua"/>
          <w:sz w:val="22"/>
          <w:szCs w:val="22"/>
        </w:rPr>
        <w:t xml:space="preserve"> Transport System Tie-in may not discharge any </w:t>
      </w:r>
      <w:r w:rsidRPr="00AF5407">
        <w:rPr>
          <w:rFonts w:ascii="Book Antiqua" w:hAnsi="Book Antiqua"/>
          <w:sz w:val="22"/>
          <w:szCs w:val="22"/>
        </w:rPr>
        <w:t xml:space="preserve">gases </w:t>
      </w:r>
      <w:r>
        <w:rPr>
          <w:rFonts w:ascii="Book Antiqua" w:hAnsi="Book Antiqua"/>
          <w:sz w:val="22"/>
          <w:szCs w:val="22"/>
        </w:rPr>
        <w:t>that</w:t>
      </w:r>
      <w:r w:rsidRPr="00AF5407">
        <w:rPr>
          <w:rFonts w:ascii="Book Antiqua" w:hAnsi="Book Antiqua"/>
          <w:sz w:val="22"/>
          <w:szCs w:val="22"/>
        </w:rPr>
        <w:t xml:space="preserve"> exhibit 10 percent opacity or greater</w:t>
      </w:r>
      <w:r>
        <w:rPr>
          <w:rFonts w:ascii="Book Antiqua" w:hAnsi="Book Antiqua"/>
          <w:sz w:val="22"/>
          <w:szCs w:val="22"/>
        </w:rPr>
        <w:t>.</w:t>
      </w:r>
      <w:r w:rsidRPr="00AF5407">
        <w:rPr>
          <w:rFonts w:ascii="Book Antiqua" w:hAnsi="Book Antiqua"/>
          <w:sz w:val="22"/>
          <w:szCs w:val="22"/>
        </w:rPr>
        <w:t xml:space="preserve">   </w:t>
      </w:r>
    </w:p>
    <w:p w:rsidR="005C68E8" w:rsidRPr="00C86CE3" w:rsidRDefault="005C68E8" w:rsidP="005C68E8">
      <w:pPr>
        <w:pStyle w:val="NormalWeb"/>
        <w:rPr>
          <w:rFonts w:ascii="Book Antiqua" w:hAnsi="Book Antiqua"/>
          <w:sz w:val="22"/>
          <w:szCs w:val="22"/>
        </w:rPr>
      </w:pPr>
      <w:r w:rsidRPr="00C86CE3">
        <w:rPr>
          <w:rFonts w:ascii="Book Antiqua" w:hAnsi="Book Antiqua"/>
          <w:sz w:val="22"/>
          <w:szCs w:val="22"/>
        </w:rPr>
        <w:t>40 CFR 60.62(d) states that if an affected source subject to 40 CFR 60 Subpart F is subject to a different emission limit or requirement for the same pollutant under another regulation in title 40 of this chapter, the source must comply with the most stringent emission limit or requirement and is not subject to the less stringent requirement.</w:t>
      </w:r>
    </w:p>
    <w:p w:rsidR="005C68E8" w:rsidRDefault="005C68E8" w:rsidP="005C68E8">
      <w:pPr>
        <w:spacing w:after="240"/>
        <w:rPr>
          <w:rFonts w:ascii="Book Antiqua" w:hAnsi="Book Antiqua"/>
          <w:bCs/>
          <w:sz w:val="22"/>
          <w:szCs w:val="22"/>
        </w:rPr>
      </w:pPr>
      <w:r>
        <w:rPr>
          <w:rFonts w:ascii="Book Antiqua" w:hAnsi="Book Antiqua"/>
          <w:bCs/>
          <w:sz w:val="22"/>
          <w:szCs w:val="22"/>
        </w:rPr>
        <w:t xml:space="preserve">The </w:t>
      </w:r>
      <w:r w:rsidR="005063EE">
        <w:rPr>
          <w:rFonts w:ascii="Book Antiqua" w:hAnsi="Book Antiqua"/>
          <w:bCs/>
          <w:sz w:val="22"/>
          <w:szCs w:val="22"/>
        </w:rPr>
        <w:t>Kiln ESP dust</w:t>
      </w:r>
      <w:r>
        <w:rPr>
          <w:rFonts w:ascii="Book Antiqua" w:hAnsi="Book Antiqua"/>
          <w:bCs/>
          <w:sz w:val="22"/>
          <w:szCs w:val="22"/>
        </w:rPr>
        <w:t xml:space="preserve"> Transport System Tie-In will also be an affected source under 40 CFR 63 Subpart LLL – </w:t>
      </w:r>
      <w:r w:rsidRPr="00C86CE3">
        <w:rPr>
          <w:rFonts w:ascii="Book Antiqua" w:hAnsi="Book Antiqua"/>
          <w:bCs/>
          <w:sz w:val="22"/>
          <w:szCs w:val="22"/>
        </w:rPr>
        <w:t>National Emission Standards for Hazardous Air Pollutants From the Portland Cement Manufacturing Industry</w:t>
      </w:r>
      <w:r>
        <w:rPr>
          <w:rFonts w:ascii="Book Antiqua" w:hAnsi="Book Antiqua"/>
          <w:bCs/>
          <w:sz w:val="22"/>
          <w:szCs w:val="22"/>
        </w:rPr>
        <w:t xml:space="preserve">.  This </w:t>
      </w:r>
      <w:r w:rsidR="006F5D91">
        <w:rPr>
          <w:rFonts w:ascii="Book Antiqua" w:hAnsi="Book Antiqua"/>
          <w:bCs/>
          <w:sz w:val="22"/>
          <w:szCs w:val="22"/>
        </w:rPr>
        <w:t>Kiln ESP Dust Transport System Tie-In</w:t>
      </w:r>
      <w:r>
        <w:rPr>
          <w:rFonts w:ascii="Book Antiqua" w:hAnsi="Book Antiqua"/>
          <w:bCs/>
          <w:sz w:val="22"/>
          <w:szCs w:val="22"/>
        </w:rPr>
        <w:t xml:space="preserve"> meets the definition of a </w:t>
      </w:r>
      <w:r w:rsidR="006F5D91">
        <w:rPr>
          <w:rFonts w:ascii="Book Antiqua" w:hAnsi="Book Antiqua"/>
          <w:bCs/>
          <w:sz w:val="22"/>
          <w:szCs w:val="22"/>
        </w:rPr>
        <w:t xml:space="preserve">Conveying System </w:t>
      </w:r>
      <w:r>
        <w:rPr>
          <w:rFonts w:ascii="Book Antiqua" w:hAnsi="Book Antiqua"/>
          <w:bCs/>
          <w:sz w:val="22"/>
          <w:szCs w:val="22"/>
        </w:rPr>
        <w:t xml:space="preserve">under §63.1341, and therefore </w:t>
      </w:r>
      <w:r w:rsidR="006F5D91">
        <w:rPr>
          <w:rFonts w:ascii="Book Antiqua" w:hAnsi="Book Antiqua"/>
          <w:bCs/>
          <w:sz w:val="22"/>
          <w:szCs w:val="22"/>
        </w:rPr>
        <w:t xml:space="preserve">each conveying system transfer point </w:t>
      </w:r>
      <w:r>
        <w:rPr>
          <w:rFonts w:ascii="Book Antiqua" w:hAnsi="Book Antiqua"/>
          <w:bCs/>
          <w:sz w:val="22"/>
          <w:szCs w:val="22"/>
        </w:rPr>
        <w:t>is an affected source p</w:t>
      </w:r>
      <w:r w:rsidR="006F5D91">
        <w:rPr>
          <w:rFonts w:ascii="Book Antiqua" w:hAnsi="Book Antiqua"/>
          <w:bCs/>
          <w:sz w:val="22"/>
          <w:szCs w:val="22"/>
        </w:rPr>
        <w:t>ursuant to</w:t>
      </w:r>
      <w:r>
        <w:rPr>
          <w:rFonts w:ascii="Book Antiqua" w:hAnsi="Book Antiqua"/>
          <w:bCs/>
          <w:sz w:val="22"/>
          <w:szCs w:val="22"/>
        </w:rPr>
        <w:t xml:space="preserve"> §63.1340(b)(7) .   </w:t>
      </w:r>
    </w:p>
    <w:p w:rsidR="005C68E8" w:rsidRPr="00AF5407" w:rsidRDefault="005C68E8" w:rsidP="005C68E8">
      <w:pPr>
        <w:pStyle w:val="NormalWeb"/>
        <w:rPr>
          <w:rFonts w:ascii="Book Antiqua" w:hAnsi="Book Antiqua"/>
          <w:sz w:val="22"/>
          <w:szCs w:val="22"/>
        </w:rPr>
      </w:pPr>
      <w:r>
        <w:rPr>
          <w:rFonts w:ascii="Book Antiqua" w:hAnsi="Book Antiqua"/>
          <w:sz w:val="22"/>
          <w:szCs w:val="22"/>
        </w:rPr>
        <w:t>Pursuant to the provisions of 40 CFR 63.1345, each</w:t>
      </w:r>
      <w:r w:rsidRPr="00AF5407">
        <w:rPr>
          <w:rFonts w:ascii="Book Antiqua" w:hAnsi="Book Antiqua"/>
          <w:sz w:val="22"/>
          <w:szCs w:val="22"/>
        </w:rPr>
        <w:t xml:space="preserve"> </w:t>
      </w:r>
      <w:r>
        <w:rPr>
          <w:rFonts w:ascii="Book Antiqua" w:hAnsi="Book Antiqua"/>
          <w:bCs/>
          <w:iCs/>
          <w:sz w:val="22"/>
          <w:szCs w:val="22"/>
        </w:rPr>
        <w:t>conveying system transfer</w:t>
      </w:r>
      <w:r w:rsidRPr="001E5DC5">
        <w:rPr>
          <w:rFonts w:ascii="Book Antiqua" w:hAnsi="Book Antiqua"/>
          <w:bCs/>
          <w:iCs/>
          <w:sz w:val="22"/>
          <w:szCs w:val="22"/>
        </w:rPr>
        <w:t xml:space="preserve"> point </w:t>
      </w:r>
      <w:r>
        <w:rPr>
          <w:rFonts w:ascii="Book Antiqua" w:hAnsi="Book Antiqua"/>
          <w:bCs/>
          <w:iCs/>
          <w:sz w:val="22"/>
          <w:szCs w:val="22"/>
        </w:rPr>
        <w:t xml:space="preserve">in the </w:t>
      </w:r>
      <w:r w:rsidR="005063EE">
        <w:rPr>
          <w:rFonts w:ascii="Book Antiqua" w:hAnsi="Book Antiqua"/>
          <w:sz w:val="22"/>
          <w:szCs w:val="22"/>
        </w:rPr>
        <w:t>Kiln ESP dust</w:t>
      </w:r>
      <w:r>
        <w:rPr>
          <w:rFonts w:ascii="Book Antiqua" w:hAnsi="Book Antiqua"/>
          <w:sz w:val="22"/>
          <w:szCs w:val="22"/>
        </w:rPr>
        <w:t xml:space="preserve"> Transport System Tie-in</w:t>
      </w:r>
      <w:r w:rsidRPr="00AF5407">
        <w:rPr>
          <w:rFonts w:ascii="Book Antiqua" w:hAnsi="Book Antiqua"/>
          <w:sz w:val="22"/>
          <w:szCs w:val="22"/>
        </w:rPr>
        <w:t xml:space="preserve"> </w:t>
      </w:r>
      <w:r>
        <w:rPr>
          <w:rFonts w:ascii="Book Antiqua" w:hAnsi="Book Antiqua"/>
          <w:sz w:val="22"/>
          <w:szCs w:val="22"/>
        </w:rPr>
        <w:t xml:space="preserve">may not discharge any </w:t>
      </w:r>
      <w:r w:rsidRPr="00AF5407">
        <w:rPr>
          <w:rFonts w:ascii="Book Antiqua" w:hAnsi="Book Antiqua"/>
          <w:sz w:val="22"/>
          <w:szCs w:val="22"/>
        </w:rPr>
        <w:t xml:space="preserve">gases </w:t>
      </w:r>
      <w:r>
        <w:rPr>
          <w:rFonts w:ascii="Book Antiqua" w:hAnsi="Book Antiqua"/>
          <w:sz w:val="22"/>
          <w:szCs w:val="22"/>
        </w:rPr>
        <w:t>that</w:t>
      </w:r>
      <w:r w:rsidRPr="00AF5407">
        <w:rPr>
          <w:rFonts w:ascii="Book Antiqua" w:hAnsi="Book Antiqua"/>
          <w:sz w:val="22"/>
          <w:szCs w:val="22"/>
        </w:rPr>
        <w:t xml:space="preserve"> exhibit </w:t>
      </w:r>
      <w:r>
        <w:rPr>
          <w:rFonts w:ascii="Book Antiqua" w:hAnsi="Book Antiqua"/>
          <w:sz w:val="22"/>
          <w:szCs w:val="22"/>
        </w:rPr>
        <w:t xml:space="preserve">opacity in excess of </w:t>
      </w:r>
      <w:r w:rsidRPr="00AF5407">
        <w:rPr>
          <w:rFonts w:ascii="Book Antiqua" w:hAnsi="Book Antiqua"/>
          <w:sz w:val="22"/>
          <w:szCs w:val="22"/>
        </w:rPr>
        <w:t>10 percent</w:t>
      </w:r>
      <w:r>
        <w:rPr>
          <w:rFonts w:ascii="Book Antiqua" w:hAnsi="Book Antiqua"/>
          <w:sz w:val="22"/>
          <w:szCs w:val="22"/>
        </w:rPr>
        <w:t>.</w:t>
      </w:r>
      <w:r w:rsidRPr="00AF5407">
        <w:rPr>
          <w:rFonts w:ascii="Book Antiqua" w:hAnsi="Book Antiqua"/>
          <w:sz w:val="22"/>
          <w:szCs w:val="22"/>
        </w:rPr>
        <w:t xml:space="preserve">   </w:t>
      </w:r>
    </w:p>
    <w:p w:rsidR="005C68E8" w:rsidRPr="0076283D" w:rsidRDefault="005C68E8" w:rsidP="005C68E8">
      <w:pPr>
        <w:spacing w:after="240"/>
        <w:rPr>
          <w:rFonts w:ascii="Book Antiqua" w:hAnsi="Book Antiqua"/>
          <w:sz w:val="22"/>
          <w:szCs w:val="22"/>
        </w:rPr>
      </w:pPr>
      <w:r>
        <w:rPr>
          <w:rFonts w:ascii="Book Antiqua" w:hAnsi="Book Antiqua"/>
          <w:sz w:val="22"/>
          <w:szCs w:val="22"/>
        </w:rPr>
        <w:t>The 40 CFR 60 Subpart F, 60.62(c) standard is more stringent therefore, pursuant to 40 CFR 60.62(d) and also 40 CFR 63. 1356, the 40 CFR 63 Subpart LLL 63.1345 standard does not apply.  It is noted that th</w:t>
      </w:r>
      <w:r w:rsidRPr="0076283D">
        <w:rPr>
          <w:rFonts w:ascii="Book Antiqua" w:hAnsi="Book Antiqua"/>
          <w:sz w:val="22"/>
          <w:szCs w:val="22"/>
        </w:rPr>
        <w:t xml:space="preserve">e other applicable </w:t>
      </w:r>
      <w:r>
        <w:rPr>
          <w:rFonts w:ascii="Book Antiqua" w:hAnsi="Book Antiqua"/>
          <w:sz w:val="22"/>
          <w:szCs w:val="22"/>
        </w:rPr>
        <w:t>S</w:t>
      </w:r>
      <w:r w:rsidRPr="0076283D">
        <w:rPr>
          <w:rFonts w:ascii="Book Antiqua" w:hAnsi="Book Antiqua"/>
          <w:sz w:val="22"/>
          <w:szCs w:val="22"/>
        </w:rPr>
        <w:t xml:space="preserve">ubpart F and </w:t>
      </w:r>
      <w:r>
        <w:rPr>
          <w:rFonts w:ascii="Book Antiqua" w:hAnsi="Book Antiqua"/>
          <w:sz w:val="22"/>
          <w:szCs w:val="22"/>
        </w:rPr>
        <w:t>S</w:t>
      </w:r>
      <w:r w:rsidRPr="0076283D">
        <w:rPr>
          <w:rFonts w:ascii="Book Antiqua" w:hAnsi="Book Antiqua"/>
          <w:sz w:val="22"/>
          <w:szCs w:val="22"/>
        </w:rPr>
        <w:t xml:space="preserve">ubpart LLL requirements </w:t>
      </w:r>
      <w:r>
        <w:rPr>
          <w:rFonts w:ascii="Book Antiqua" w:hAnsi="Book Antiqua"/>
          <w:sz w:val="22"/>
          <w:szCs w:val="22"/>
        </w:rPr>
        <w:t xml:space="preserve">do </w:t>
      </w:r>
      <w:r w:rsidRPr="0076283D">
        <w:rPr>
          <w:rFonts w:ascii="Book Antiqua" w:hAnsi="Book Antiqua"/>
          <w:sz w:val="22"/>
          <w:szCs w:val="22"/>
        </w:rPr>
        <w:t xml:space="preserve">apply (testing, monitoring, recordkeeping, reporting, etc.). </w:t>
      </w:r>
    </w:p>
    <w:p w:rsidR="00704FA8" w:rsidRDefault="00704FA8" w:rsidP="005C68E8">
      <w:pPr>
        <w:spacing w:after="240"/>
        <w:rPr>
          <w:rFonts w:ascii="Book Antiqua" w:hAnsi="Book Antiqua" w:cs="TimesNewRomanPSMT"/>
          <w:sz w:val="22"/>
          <w:szCs w:val="22"/>
        </w:rPr>
      </w:pPr>
      <w:r>
        <w:rPr>
          <w:rFonts w:ascii="Book Antiqua" w:hAnsi="Book Antiqua" w:cs="TimesNewRomanPSMT"/>
          <w:sz w:val="22"/>
          <w:szCs w:val="22"/>
        </w:rPr>
        <w:t xml:space="preserve">Florida Rock Industries states that the </w:t>
      </w:r>
      <w:r w:rsidR="005063EE">
        <w:rPr>
          <w:rFonts w:ascii="Book Antiqua" w:hAnsi="Book Antiqua" w:cs="TimesNewRomanPSMT"/>
          <w:sz w:val="22"/>
          <w:szCs w:val="22"/>
        </w:rPr>
        <w:t>Kiln ESP dust</w:t>
      </w:r>
      <w:r>
        <w:rPr>
          <w:rFonts w:ascii="Book Antiqua" w:hAnsi="Book Antiqua" w:cs="TimesNewRomanPSMT"/>
          <w:sz w:val="22"/>
          <w:szCs w:val="22"/>
        </w:rPr>
        <w:t xml:space="preserve"> Transport System Tie-</w:t>
      </w:r>
      <w:r w:rsidR="0070214D">
        <w:rPr>
          <w:rFonts w:ascii="Book Antiqua" w:hAnsi="Book Antiqua" w:cs="TimesNewRomanPSMT"/>
          <w:sz w:val="22"/>
          <w:szCs w:val="22"/>
        </w:rPr>
        <w:t>I</w:t>
      </w:r>
      <w:r>
        <w:rPr>
          <w:rFonts w:ascii="Book Antiqua" w:hAnsi="Book Antiqua" w:cs="TimesNewRomanPSMT"/>
          <w:sz w:val="22"/>
          <w:szCs w:val="22"/>
        </w:rPr>
        <w:t>n will be a t</w:t>
      </w:r>
      <w:r w:rsidRPr="00704FA8">
        <w:rPr>
          <w:rFonts w:ascii="Book Antiqua" w:hAnsi="Book Antiqua" w:cs="TimesNewRomanPSMT"/>
          <w:sz w:val="22"/>
          <w:szCs w:val="22"/>
        </w:rPr>
        <w:t>otally enclosed conveying system</w:t>
      </w:r>
      <w:r>
        <w:rPr>
          <w:rFonts w:ascii="Book Antiqua" w:hAnsi="Book Antiqua" w:cs="TimesNewRomanPSMT"/>
          <w:sz w:val="22"/>
          <w:szCs w:val="22"/>
        </w:rPr>
        <w:t xml:space="preserve">.  In accordance with 40 CFR 63 Subpart LLL 63.1341, the conveying system transfer points are enclosed on all sides, top, and bottom.  </w:t>
      </w:r>
    </w:p>
    <w:p w:rsidR="00704FA8" w:rsidRDefault="00D01CA5" w:rsidP="00704FA8">
      <w:pPr>
        <w:autoSpaceDE w:val="0"/>
        <w:autoSpaceDN w:val="0"/>
        <w:adjustRightInd w:val="0"/>
        <w:spacing w:after="120"/>
        <w:rPr>
          <w:rFonts w:ascii="Book Antiqua" w:hAnsi="Book Antiqua"/>
          <w:sz w:val="22"/>
          <w:szCs w:val="22"/>
        </w:rPr>
      </w:pPr>
      <w:r>
        <w:rPr>
          <w:rFonts w:ascii="Book Antiqua" w:hAnsi="Book Antiqua"/>
          <w:sz w:val="22"/>
          <w:szCs w:val="22"/>
        </w:rPr>
        <w:t>S</w:t>
      </w:r>
      <w:r w:rsidR="00704FA8">
        <w:rPr>
          <w:rFonts w:ascii="Book Antiqua" w:hAnsi="Book Antiqua"/>
          <w:sz w:val="22"/>
          <w:szCs w:val="22"/>
        </w:rPr>
        <w:t xml:space="preserve">ince the </w:t>
      </w:r>
      <w:r w:rsidR="005063EE">
        <w:rPr>
          <w:rFonts w:ascii="Book Antiqua" w:hAnsi="Book Antiqua"/>
          <w:sz w:val="22"/>
          <w:szCs w:val="22"/>
        </w:rPr>
        <w:t>Kiln ESP dust</w:t>
      </w:r>
      <w:r w:rsidR="00704FA8">
        <w:rPr>
          <w:rFonts w:ascii="Book Antiqua" w:hAnsi="Book Antiqua"/>
          <w:sz w:val="22"/>
          <w:szCs w:val="22"/>
        </w:rPr>
        <w:t xml:space="preserve"> Transport System Tie-in is an affected source under Subparts F and LLL, the applicable requirements of both subparts will be included in the permit.  </w:t>
      </w:r>
    </w:p>
    <w:p w:rsidR="005C68E8" w:rsidRDefault="005C68E8" w:rsidP="005C68E8">
      <w:pPr>
        <w:spacing w:after="240"/>
        <w:rPr>
          <w:rFonts w:ascii="Book Antiqua" w:hAnsi="Book Antiqua" w:cs="TimesNewRomanPSMT"/>
          <w:sz w:val="22"/>
          <w:szCs w:val="22"/>
        </w:rPr>
      </w:pPr>
      <w:r>
        <w:rPr>
          <w:rFonts w:ascii="Book Antiqua" w:hAnsi="Book Antiqua" w:cs="TimesNewRomanPSMT"/>
          <w:sz w:val="22"/>
          <w:szCs w:val="22"/>
        </w:rPr>
        <w:t>In accordance with 40 CFR 60.64(b)(3), an initial Method 9 test is required to demonstrate compliance with the opacity standard</w:t>
      </w:r>
      <w:r w:rsidR="00704FA8" w:rsidRPr="00704FA8">
        <w:rPr>
          <w:rFonts w:ascii="Book Antiqua" w:hAnsi="Book Antiqua"/>
          <w:bCs/>
          <w:iCs/>
          <w:sz w:val="22"/>
          <w:szCs w:val="22"/>
        </w:rPr>
        <w:t xml:space="preserve"> </w:t>
      </w:r>
      <w:r w:rsidR="00704FA8">
        <w:rPr>
          <w:rFonts w:ascii="Book Antiqua" w:hAnsi="Book Antiqua"/>
          <w:bCs/>
          <w:iCs/>
          <w:sz w:val="22"/>
          <w:szCs w:val="22"/>
        </w:rPr>
        <w:t>at each conveying system transfer</w:t>
      </w:r>
      <w:r w:rsidR="00704FA8" w:rsidRPr="001E5DC5">
        <w:rPr>
          <w:rFonts w:ascii="Book Antiqua" w:hAnsi="Book Antiqua"/>
          <w:bCs/>
          <w:iCs/>
          <w:sz w:val="22"/>
          <w:szCs w:val="22"/>
        </w:rPr>
        <w:t xml:space="preserve"> point </w:t>
      </w:r>
      <w:r w:rsidR="00704FA8">
        <w:rPr>
          <w:rFonts w:ascii="Book Antiqua" w:hAnsi="Book Antiqua"/>
          <w:bCs/>
          <w:iCs/>
          <w:sz w:val="22"/>
          <w:szCs w:val="22"/>
        </w:rPr>
        <w:t xml:space="preserve">in the </w:t>
      </w:r>
      <w:r w:rsidR="005063EE">
        <w:rPr>
          <w:rFonts w:ascii="Book Antiqua" w:hAnsi="Book Antiqua"/>
          <w:sz w:val="22"/>
          <w:szCs w:val="22"/>
        </w:rPr>
        <w:t>Kiln ESP dust</w:t>
      </w:r>
      <w:r w:rsidR="00704FA8">
        <w:rPr>
          <w:rFonts w:ascii="Book Antiqua" w:hAnsi="Book Antiqua"/>
          <w:sz w:val="22"/>
          <w:szCs w:val="22"/>
        </w:rPr>
        <w:t xml:space="preserve"> Transport System Tie-in</w:t>
      </w:r>
      <w:r>
        <w:rPr>
          <w:rFonts w:ascii="Book Antiqua" w:hAnsi="Book Antiqua" w:cs="TimesNewRomanPSMT"/>
          <w:sz w:val="22"/>
          <w:szCs w:val="22"/>
        </w:rPr>
        <w:t xml:space="preserve">.   In accordance with 40 CFR 60.11(b), this initial visible emissions test will be a three hour test </w:t>
      </w:r>
      <w:r w:rsidRPr="0074431D">
        <w:rPr>
          <w:rFonts w:ascii="Book Antiqua" w:hAnsi="Book Antiqua"/>
          <w:sz w:val="22"/>
          <w:szCs w:val="22"/>
        </w:rPr>
        <w:t>(thirty 6-minute averages)</w:t>
      </w:r>
      <w:r>
        <w:rPr>
          <w:rFonts w:ascii="Book Antiqua" w:hAnsi="Book Antiqua" w:cs="TimesNewRomanPSMT"/>
          <w:sz w:val="22"/>
          <w:szCs w:val="22"/>
        </w:rPr>
        <w:t xml:space="preserve">.  </w:t>
      </w:r>
    </w:p>
    <w:p w:rsidR="005C68E8" w:rsidRDefault="005C68E8" w:rsidP="005C68E8">
      <w:pPr>
        <w:spacing w:after="240"/>
        <w:rPr>
          <w:rFonts w:ascii="Book Antiqua" w:hAnsi="Book Antiqua" w:cs="TimesNewRomanPSMT"/>
          <w:sz w:val="22"/>
          <w:szCs w:val="22"/>
        </w:rPr>
      </w:pPr>
      <w:r>
        <w:rPr>
          <w:rFonts w:ascii="Book Antiqua" w:hAnsi="Book Antiqua" w:cs="TimesNewRomanPSMT"/>
          <w:sz w:val="22"/>
          <w:szCs w:val="22"/>
        </w:rPr>
        <w:t xml:space="preserve">State Rule 62-2197.310(7)(a), F.A.C. specifies the frequency of subsequent opacity testing since the NSPS subpart does not specify a subsequent demonstration of compliance. </w:t>
      </w:r>
    </w:p>
    <w:p w:rsidR="005C68E8" w:rsidRPr="00B9569C" w:rsidRDefault="005C68E8" w:rsidP="005C68E8">
      <w:pPr>
        <w:autoSpaceDE w:val="0"/>
        <w:autoSpaceDN w:val="0"/>
        <w:adjustRightInd w:val="0"/>
        <w:rPr>
          <w:rFonts w:ascii="Book Antiqua" w:hAnsi="Book Antiqua" w:cs="TimesNewRomanPSMT"/>
          <w:sz w:val="22"/>
          <w:szCs w:val="22"/>
        </w:rPr>
      </w:pPr>
      <w:r w:rsidRPr="00B9569C">
        <w:rPr>
          <w:rFonts w:ascii="Book Antiqua" w:hAnsi="Book Antiqua" w:cs="TimesNewRomanPSMT"/>
          <w:sz w:val="22"/>
          <w:szCs w:val="22"/>
        </w:rPr>
        <w:t xml:space="preserve">State Rule 62-297.310(7)(a)1., F.A.C., requires that a compliance test be conducted that demonstrates compliance with the applicable emissions limiting standard prior to obtaining an operation permit.  Therefore, a compliance test shall be conducted at least prior to obtaining an operation permit, </w:t>
      </w:r>
      <w:r w:rsidR="00BF7702" w:rsidRPr="00B9569C">
        <w:rPr>
          <w:rFonts w:ascii="Book Antiqua" w:hAnsi="Book Antiqua" w:cs="TimesNewRomanPSMT"/>
          <w:sz w:val="22"/>
          <w:szCs w:val="22"/>
        </w:rPr>
        <w:t>i.e.</w:t>
      </w:r>
      <w:r w:rsidRPr="00B9569C">
        <w:rPr>
          <w:rFonts w:ascii="Book Antiqua" w:hAnsi="Book Antiqua" w:cs="TimesNewRomanPSMT"/>
          <w:sz w:val="22"/>
          <w:szCs w:val="22"/>
        </w:rPr>
        <w:t xml:space="preserve"> at least on a 5-year basis prior to operation permit renewal.</w:t>
      </w:r>
    </w:p>
    <w:p w:rsidR="005C68E8" w:rsidRPr="00B9569C" w:rsidRDefault="005C68E8" w:rsidP="005C68E8">
      <w:pPr>
        <w:autoSpaceDE w:val="0"/>
        <w:autoSpaceDN w:val="0"/>
        <w:adjustRightInd w:val="0"/>
        <w:rPr>
          <w:rFonts w:ascii="Book Antiqua" w:hAnsi="Book Antiqua" w:cs="TimesNewRomanPSMT"/>
          <w:sz w:val="22"/>
          <w:szCs w:val="22"/>
        </w:rPr>
      </w:pPr>
    </w:p>
    <w:p w:rsidR="005C68E8" w:rsidRDefault="005C68E8" w:rsidP="005C68E8">
      <w:pPr>
        <w:autoSpaceDE w:val="0"/>
        <w:autoSpaceDN w:val="0"/>
        <w:adjustRightInd w:val="0"/>
        <w:rPr>
          <w:rFonts w:ascii="Book Antiqua" w:hAnsi="Book Antiqua" w:cs="TimesNewRomanPSMT"/>
          <w:sz w:val="22"/>
          <w:szCs w:val="22"/>
        </w:rPr>
      </w:pPr>
      <w:r w:rsidRPr="00B9569C">
        <w:rPr>
          <w:rFonts w:ascii="Book Antiqua" w:hAnsi="Book Antiqua" w:cs="TimesNewRomanPSMT"/>
          <w:sz w:val="22"/>
          <w:szCs w:val="22"/>
        </w:rPr>
        <w:t xml:space="preserve">State Rule 62-297.310 (7)(a)4.a., F.A.C., states that if there is an applicable standard, a formal compliance test shall be conducted for visible emissions during each federal fiscal year (October 1 – September 30), unless otherwise specified by rule, order, or permit.  This rule does allow for exceptions to the annual visible emissions compliance test if they are established by rule, order, or permit.  </w:t>
      </w:r>
    </w:p>
    <w:p w:rsidR="005C68E8" w:rsidRPr="00B9569C" w:rsidRDefault="005C68E8" w:rsidP="005C68E8">
      <w:pPr>
        <w:autoSpaceDE w:val="0"/>
        <w:autoSpaceDN w:val="0"/>
        <w:adjustRightInd w:val="0"/>
        <w:rPr>
          <w:rFonts w:ascii="Book Antiqua" w:hAnsi="Book Antiqua" w:cs="TimesNewRomanPSMT"/>
          <w:sz w:val="22"/>
          <w:szCs w:val="22"/>
        </w:rPr>
      </w:pPr>
    </w:p>
    <w:p w:rsidR="005C68E8" w:rsidRDefault="005C68E8" w:rsidP="005C68E8">
      <w:pPr>
        <w:spacing w:after="240"/>
        <w:rPr>
          <w:rFonts w:ascii="Book Antiqua" w:hAnsi="Book Antiqua" w:cs="TimesNewRomanPSMT"/>
          <w:sz w:val="22"/>
          <w:szCs w:val="22"/>
        </w:rPr>
      </w:pPr>
      <w:r>
        <w:rPr>
          <w:rFonts w:ascii="Book Antiqua" w:hAnsi="Book Antiqua" w:cs="TimesNewRomanPSMT"/>
          <w:sz w:val="22"/>
          <w:szCs w:val="22"/>
        </w:rPr>
        <w:t xml:space="preserve">The Department has determined that a subsequent testing frequency in accordance with State Rule 62-297.310(7)(a)1., F.A.C. is reasonable since the this would be the frequency had </w:t>
      </w:r>
      <w:r w:rsidR="00704FA8">
        <w:rPr>
          <w:rFonts w:ascii="Book Antiqua" w:hAnsi="Book Antiqua"/>
          <w:sz w:val="22"/>
          <w:szCs w:val="22"/>
        </w:rPr>
        <w:t>each</w:t>
      </w:r>
      <w:r w:rsidR="00704FA8" w:rsidRPr="00AF5407">
        <w:rPr>
          <w:rFonts w:ascii="Book Antiqua" w:hAnsi="Book Antiqua"/>
          <w:sz w:val="22"/>
          <w:szCs w:val="22"/>
        </w:rPr>
        <w:t xml:space="preserve"> </w:t>
      </w:r>
      <w:r w:rsidR="00704FA8">
        <w:rPr>
          <w:rFonts w:ascii="Book Antiqua" w:hAnsi="Book Antiqua"/>
          <w:bCs/>
          <w:iCs/>
          <w:sz w:val="22"/>
          <w:szCs w:val="22"/>
        </w:rPr>
        <w:t>conveying system transfer</w:t>
      </w:r>
      <w:r w:rsidR="00704FA8" w:rsidRPr="001E5DC5">
        <w:rPr>
          <w:rFonts w:ascii="Book Antiqua" w:hAnsi="Book Antiqua"/>
          <w:bCs/>
          <w:iCs/>
          <w:sz w:val="22"/>
          <w:szCs w:val="22"/>
        </w:rPr>
        <w:t xml:space="preserve"> point </w:t>
      </w:r>
      <w:r w:rsidR="00704FA8">
        <w:rPr>
          <w:rFonts w:ascii="Book Antiqua" w:hAnsi="Book Antiqua"/>
          <w:bCs/>
          <w:iCs/>
          <w:sz w:val="22"/>
          <w:szCs w:val="22"/>
        </w:rPr>
        <w:t xml:space="preserve">in the </w:t>
      </w:r>
      <w:r w:rsidR="005063EE">
        <w:rPr>
          <w:rFonts w:ascii="Book Antiqua" w:hAnsi="Book Antiqua"/>
          <w:sz w:val="22"/>
          <w:szCs w:val="22"/>
        </w:rPr>
        <w:t>Kiln ESP dust</w:t>
      </w:r>
      <w:r w:rsidR="00704FA8">
        <w:rPr>
          <w:rFonts w:ascii="Book Antiqua" w:hAnsi="Book Antiqua"/>
          <w:sz w:val="22"/>
          <w:szCs w:val="22"/>
        </w:rPr>
        <w:t xml:space="preserve"> Transport System Tie-in</w:t>
      </w:r>
      <w:r w:rsidR="00704FA8">
        <w:rPr>
          <w:rFonts w:ascii="Book Antiqua" w:hAnsi="Book Antiqua" w:cs="TimesNewRomanPSMT"/>
          <w:sz w:val="22"/>
          <w:szCs w:val="22"/>
        </w:rPr>
        <w:t xml:space="preserve"> </w:t>
      </w:r>
      <w:r>
        <w:rPr>
          <w:rFonts w:ascii="Book Antiqua" w:hAnsi="Book Antiqua" w:cs="TimesNewRomanPSMT"/>
          <w:sz w:val="22"/>
          <w:szCs w:val="22"/>
        </w:rPr>
        <w:t>been subject to the 40 CFR 63 Subpart LLL 63.1345 opacity standard.</w:t>
      </w:r>
    </w:p>
    <w:p w:rsidR="005C68E8" w:rsidRDefault="005C68E8" w:rsidP="005C68E8">
      <w:pPr>
        <w:spacing w:after="240"/>
        <w:rPr>
          <w:rFonts w:ascii="Book Antiqua" w:hAnsi="Book Antiqua" w:cs="TimesNewRomanPSMT"/>
          <w:sz w:val="22"/>
          <w:szCs w:val="22"/>
        </w:rPr>
      </w:pPr>
      <w:r>
        <w:rPr>
          <w:rFonts w:ascii="Book Antiqua" w:hAnsi="Book Antiqua"/>
          <w:sz w:val="22"/>
          <w:szCs w:val="22"/>
        </w:rPr>
        <w:t xml:space="preserve">In accordance with </w:t>
      </w:r>
      <w:r w:rsidRPr="0074431D">
        <w:rPr>
          <w:rFonts w:ascii="Book Antiqua" w:hAnsi="Book Antiqua"/>
          <w:sz w:val="22"/>
          <w:szCs w:val="22"/>
        </w:rPr>
        <w:t>Rule 62-297.310(4)(a)2., F.A.C.</w:t>
      </w:r>
      <w:r>
        <w:rPr>
          <w:rFonts w:ascii="Book Antiqua" w:hAnsi="Book Antiqua"/>
          <w:sz w:val="22"/>
          <w:szCs w:val="22"/>
        </w:rPr>
        <w:t>, t</w:t>
      </w:r>
      <w:r w:rsidRPr="0074431D">
        <w:rPr>
          <w:rFonts w:ascii="Book Antiqua" w:hAnsi="Book Antiqua"/>
          <w:sz w:val="22"/>
          <w:szCs w:val="22"/>
        </w:rPr>
        <w:t xml:space="preserve">he required minimum period of observation for each </w:t>
      </w:r>
      <w:r>
        <w:rPr>
          <w:rFonts w:ascii="Book Antiqua" w:hAnsi="Book Antiqua"/>
          <w:sz w:val="22"/>
          <w:szCs w:val="22"/>
        </w:rPr>
        <w:t xml:space="preserve">subsequent </w:t>
      </w:r>
      <w:r w:rsidRPr="0074431D">
        <w:rPr>
          <w:rFonts w:ascii="Book Antiqua" w:hAnsi="Book Antiqua"/>
          <w:sz w:val="22"/>
          <w:szCs w:val="22"/>
        </w:rPr>
        <w:t xml:space="preserve">compliance test shall be thirty (30) minutes.  </w:t>
      </w:r>
    </w:p>
    <w:p w:rsidR="005C68E8" w:rsidRDefault="005C68E8" w:rsidP="005C68E8">
      <w:pPr>
        <w:spacing w:after="240"/>
        <w:rPr>
          <w:rFonts w:ascii="Book Antiqua" w:hAnsi="Book Antiqua" w:cs="TimesNewRomanPSMT"/>
          <w:sz w:val="22"/>
          <w:szCs w:val="22"/>
        </w:rPr>
      </w:pPr>
      <w:r>
        <w:rPr>
          <w:rFonts w:ascii="Book Antiqua" w:hAnsi="Book Antiqua" w:cs="TimesNewRomanPSMT"/>
          <w:sz w:val="22"/>
          <w:szCs w:val="22"/>
        </w:rPr>
        <w:t xml:space="preserve">In accordance with </w:t>
      </w:r>
      <w:r w:rsidRPr="00236B48">
        <w:rPr>
          <w:rFonts w:ascii="Book Antiqua" w:hAnsi="Book Antiqua" w:cs="TimesNewRomanPSMT"/>
          <w:sz w:val="22"/>
          <w:szCs w:val="22"/>
        </w:rPr>
        <w:t>40 CFR 60.64(b)(4)</w:t>
      </w:r>
      <w:r>
        <w:rPr>
          <w:rFonts w:ascii="Book Antiqua" w:hAnsi="Book Antiqua" w:cs="TimesNewRomanPSMT"/>
          <w:sz w:val="22"/>
          <w:szCs w:val="22"/>
        </w:rPr>
        <w:t xml:space="preserve">, the continuous monitoring procedures in 40 CFR 63.1350(f), must be followed for the </w:t>
      </w:r>
      <w:r w:rsidR="005063EE">
        <w:rPr>
          <w:rFonts w:ascii="Book Antiqua" w:hAnsi="Book Antiqua" w:cs="TimesNewRomanPSMT"/>
          <w:sz w:val="22"/>
          <w:szCs w:val="22"/>
        </w:rPr>
        <w:t>Kiln ESP dust</w:t>
      </w:r>
      <w:r w:rsidR="00704FA8">
        <w:rPr>
          <w:rFonts w:ascii="Book Antiqua" w:hAnsi="Book Antiqua" w:cs="TimesNewRomanPSMT"/>
          <w:sz w:val="22"/>
          <w:szCs w:val="22"/>
        </w:rPr>
        <w:t xml:space="preserve"> Transport System Tie-In</w:t>
      </w:r>
      <w:r>
        <w:rPr>
          <w:rFonts w:ascii="Book Antiqua" w:hAnsi="Book Antiqua" w:cs="TimesNewRomanPSMT"/>
          <w:sz w:val="22"/>
          <w:szCs w:val="22"/>
        </w:rPr>
        <w:t xml:space="preserve">, which </w:t>
      </w:r>
      <w:r w:rsidR="00704FA8">
        <w:rPr>
          <w:rFonts w:ascii="Book Antiqua" w:hAnsi="Book Antiqua" w:cs="TimesNewRomanPSMT"/>
          <w:sz w:val="22"/>
          <w:szCs w:val="22"/>
        </w:rPr>
        <w:t xml:space="preserve">would be </w:t>
      </w:r>
      <w:r>
        <w:rPr>
          <w:rFonts w:ascii="Book Antiqua" w:hAnsi="Book Antiqua" w:cs="TimesNewRomanPSMT"/>
          <w:sz w:val="22"/>
          <w:szCs w:val="22"/>
        </w:rPr>
        <w:t>monthly Method 22 visible emissions testing.</w:t>
      </w:r>
      <w:r w:rsidR="00704FA8">
        <w:rPr>
          <w:rFonts w:ascii="Book Antiqua" w:hAnsi="Book Antiqua" w:cs="TimesNewRomanPSMT"/>
          <w:sz w:val="22"/>
          <w:szCs w:val="22"/>
        </w:rPr>
        <w:t xml:space="preserve">  However, 40 CF</w:t>
      </w:r>
      <w:r w:rsidR="00B27490">
        <w:rPr>
          <w:rFonts w:ascii="Book Antiqua" w:hAnsi="Book Antiqua" w:cs="TimesNewRomanPSMT"/>
          <w:sz w:val="22"/>
          <w:szCs w:val="22"/>
        </w:rPr>
        <w:t>R</w:t>
      </w:r>
      <w:r w:rsidR="00704FA8">
        <w:rPr>
          <w:rFonts w:ascii="Book Antiqua" w:hAnsi="Book Antiqua" w:cs="TimesNewRomanPSMT"/>
          <w:sz w:val="22"/>
          <w:szCs w:val="22"/>
        </w:rPr>
        <w:t xml:space="preserve"> 63.1350(f)(v) states that the Method 22 visible emissions monitoring under 40 CFR 63.1350(f) is not applicable to any totally </w:t>
      </w:r>
      <w:r w:rsidR="00704FA8" w:rsidRPr="00B27490">
        <w:rPr>
          <w:rFonts w:ascii="Book Antiqua" w:hAnsi="Book Antiqua" w:cs="TimesNewRomanPSMT"/>
          <w:sz w:val="22"/>
          <w:szCs w:val="22"/>
        </w:rPr>
        <w:t>enclosed conveying system transfer point, regardless of the location of the transfer point</w:t>
      </w:r>
      <w:r w:rsidR="00B27490" w:rsidRPr="00B27490">
        <w:rPr>
          <w:rFonts w:ascii="Book Antiqua" w:hAnsi="Book Antiqua" w:cs="TimesNewRomanPSMT"/>
          <w:sz w:val="22"/>
          <w:szCs w:val="22"/>
        </w:rPr>
        <w:t xml:space="preserve">.  </w:t>
      </w:r>
      <w:r w:rsidR="00704FA8" w:rsidRPr="00B27490">
        <w:rPr>
          <w:rFonts w:ascii="Book Antiqua" w:hAnsi="Book Antiqua" w:cs="TimesNewRomanPSMT"/>
          <w:sz w:val="22"/>
          <w:szCs w:val="22"/>
        </w:rPr>
        <w:t>The enclosures for these transfer points must be operated and maintained as total enclosures on a continuing basis in accordance with the facility operations and maintenance plan.</w:t>
      </w:r>
    </w:p>
    <w:p w:rsidR="005C68E8" w:rsidRDefault="005C68E8" w:rsidP="005C68E8">
      <w:pPr>
        <w:spacing w:after="240"/>
        <w:rPr>
          <w:rFonts w:ascii="Book Antiqua" w:hAnsi="Book Antiqua" w:cs="TimesNewRomanPSMT"/>
          <w:sz w:val="22"/>
          <w:szCs w:val="22"/>
        </w:rPr>
      </w:pPr>
      <w:r>
        <w:rPr>
          <w:rFonts w:ascii="Book Antiqua" w:hAnsi="Book Antiqua" w:cs="TimesNewRomanPSMT"/>
          <w:sz w:val="22"/>
          <w:szCs w:val="22"/>
        </w:rPr>
        <w:t xml:space="preserve">In accordance with 40 CFR 63 Subpart LLL 63.1347, </w:t>
      </w:r>
      <w:r w:rsidRPr="005B23AF">
        <w:rPr>
          <w:rFonts w:ascii="Book Antiqua" w:hAnsi="Book Antiqua" w:cs="TimesNewRomanPSMT"/>
          <w:sz w:val="22"/>
          <w:szCs w:val="22"/>
        </w:rPr>
        <w:t>a written operation and maintenance (O&amp;M) plan</w:t>
      </w:r>
      <w:r>
        <w:rPr>
          <w:rFonts w:ascii="Book Antiqua" w:hAnsi="Book Antiqua" w:cs="TimesNewRomanPSMT"/>
          <w:sz w:val="22"/>
          <w:szCs w:val="22"/>
        </w:rPr>
        <w:t xml:space="preserve"> must be prepared and followed for the </w:t>
      </w:r>
      <w:r w:rsidR="005063EE">
        <w:rPr>
          <w:rFonts w:ascii="Book Antiqua" w:hAnsi="Book Antiqua" w:cs="TimesNewRomanPSMT"/>
          <w:sz w:val="22"/>
          <w:szCs w:val="22"/>
        </w:rPr>
        <w:t>Kiln ESP dust</w:t>
      </w:r>
      <w:r w:rsidR="00B27490">
        <w:rPr>
          <w:rFonts w:ascii="Book Antiqua" w:hAnsi="Book Antiqua" w:cs="TimesNewRomanPSMT"/>
          <w:sz w:val="22"/>
          <w:szCs w:val="22"/>
        </w:rPr>
        <w:t xml:space="preserve"> Transport System Tie-In</w:t>
      </w:r>
      <w:r>
        <w:rPr>
          <w:rFonts w:ascii="Book Antiqua" w:hAnsi="Book Antiqua" w:cs="TimesNewRomanPSMT"/>
          <w:sz w:val="22"/>
          <w:szCs w:val="22"/>
        </w:rPr>
        <w:t>.</w:t>
      </w:r>
    </w:p>
    <w:p w:rsidR="00C80681" w:rsidRDefault="00C80681" w:rsidP="00C80681">
      <w:pPr>
        <w:spacing w:after="240"/>
        <w:rPr>
          <w:rFonts w:ascii="Book Antiqua" w:hAnsi="Book Antiqua" w:cs="TimesNewRomanPSMT"/>
          <w:sz w:val="22"/>
          <w:szCs w:val="22"/>
        </w:rPr>
      </w:pPr>
      <w:r>
        <w:rPr>
          <w:rFonts w:ascii="Book Antiqua" w:hAnsi="Book Antiqua" w:cs="TimesNewRomanPSMT"/>
          <w:sz w:val="22"/>
          <w:szCs w:val="22"/>
        </w:rPr>
        <w:t>On March 9, 2012, the consultant shared with the Department email correspondence between the consultant and Mr. Lee Page, EPA Region 4.  The consultant</w:t>
      </w:r>
      <w:r w:rsidR="009C1195">
        <w:rPr>
          <w:rFonts w:ascii="Book Antiqua" w:hAnsi="Book Antiqua" w:cs="TimesNewRomanPSMT"/>
          <w:sz w:val="22"/>
          <w:szCs w:val="22"/>
        </w:rPr>
        <w:t xml:space="preserve"> contacted Mr. Page</w:t>
      </w:r>
      <w:r>
        <w:rPr>
          <w:rFonts w:ascii="Book Antiqua" w:hAnsi="Book Antiqua" w:cs="TimesNewRomanPSMT"/>
          <w:sz w:val="22"/>
          <w:szCs w:val="22"/>
        </w:rPr>
        <w:t xml:space="preserve"> </w:t>
      </w:r>
      <w:r w:rsidR="009C1195">
        <w:rPr>
          <w:rFonts w:ascii="Book Antiqua" w:hAnsi="Book Antiqua" w:cs="TimesNewRomanPSMT"/>
          <w:sz w:val="22"/>
          <w:szCs w:val="22"/>
        </w:rPr>
        <w:t>inquiring</w:t>
      </w:r>
      <w:r>
        <w:rPr>
          <w:rFonts w:ascii="Book Antiqua" w:hAnsi="Book Antiqua" w:cs="TimesNewRomanPSMT"/>
          <w:sz w:val="22"/>
          <w:szCs w:val="22"/>
        </w:rPr>
        <w:t xml:space="preserve"> whether </w:t>
      </w:r>
      <w:r w:rsidR="009C1195">
        <w:rPr>
          <w:rFonts w:ascii="Book Antiqua" w:hAnsi="Book Antiqua" w:cs="TimesNewRomanPSMT"/>
          <w:sz w:val="22"/>
          <w:szCs w:val="22"/>
        </w:rPr>
        <w:t xml:space="preserve">an initial Method 9 test would be </w:t>
      </w:r>
      <w:r>
        <w:rPr>
          <w:rFonts w:ascii="Book Antiqua" w:hAnsi="Book Antiqua" w:cs="TimesNewRomanPSMT"/>
          <w:sz w:val="22"/>
          <w:szCs w:val="22"/>
        </w:rPr>
        <w:t xml:space="preserve">required pursuant to </w:t>
      </w:r>
      <w:r w:rsidR="009C1195">
        <w:rPr>
          <w:rFonts w:ascii="Book Antiqua" w:hAnsi="Book Antiqua" w:cs="TimesNewRomanPSMT"/>
          <w:sz w:val="22"/>
          <w:szCs w:val="22"/>
        </w:rPr>
        <w:t xml:space="preserve">40 CFR 63 </w:t>
      </w:r>
      <w:r>
        <w:rPr>
          <w:rFonts w:ascii="Book Antiqua" w:hAnsi="Book Antiqua" w:cs="TimesNewRomanPSMT"/>
          <w:sz w:val="22"/>
          <w:szCs w:val="22"/>
        </w:rPr>
        <w:t xml:space="preserve">Subpart LLL </w:t>
      </w:r>
      <w:r w:rsidRPr="005D6151">
        <w:rPr>
          <w:rFonts w:ascii="Book Antiqua" w:hAnsi="Book Antiqua" w:cs="TimesNewRomanPSMT"/>
          <w:sz w:val="22"/>
          <w:szCs w:val="22"/>
        </w:rPr>
        <w:t xml:space="preserve">for conveying system transfer points that meet the totally enclosed conveying system definition in 63.1341, and if required, where on the enclosure </w:t>
      </w:r>
      <w:r w:rsidR="009C1195">
        <w:rPr>
          <w:rFonts w:ascii="Book Antiqua" w:hAnsi="Book Antiqua" w:cs="TimesNewRomanPSMT"/>
          <w:sz w:val="22"/>
          <w:szCs w:val="22"/>
        </w:rPr>
        <w:t>shoul</w:t>
      </w:r>
      <w:r w:rsidRPr="005D6151">
        <w:rPr>
          <w:rFonts w:ascii="Book Antiqua" w:hAnsi="Book Antiqua" w:cs="TimesNewRomanPSMT"/>
          <w:sz w:val="22"/>
          <w:szCs w:val="22"/>
        </w:rPr>
        <w:t>d the testing be performed.  Mr. Page responded that</w:t>
      </w:r>
      <w:r>
        <w:rPr>
          <w:rFonts w:ascii="Book Antiqua" w:hAnsi="Book Antiqua" w:cs="TimesNewRomanPSMT"/>
          <w:sz w:val="22"/>
          <w:szCs w:val="22"/>
        </w:rPr>
        <w:t xml:space="preserve"> </w:t>
      </w:r>
      <w:r w:rsidR="009C1195">
        <w:rPr>
          <w:rFonts w:ascii="Book Antiqua" w:hAnsi="Book Antiqua" w:cs="TimesNewRomanPSMT"/>
          <w:sz w:val="22"/>
          <w:szCs w:val="22"/>
        </w:rPr>
        <w:t xml:space="preserve">in accordance with 40 CFR 63 Subpart LLL, </w:t>
      </w:r>
      <w:r w:rsidRPr="005D6151">
        <w:rPr>
          <w:rFonts w:ascii="Book Antiqua" w:hAnsi="Book Antiqua" w:cs="TimesNewRomanPSMT"/>
          <w:sz w:val="22"/>
          <w:szCs w:val="22"/>
        </w:rPr>
        <w:t>such conveying system transfer points were subject to a 10% opacity standard pursuant to 63.1345</w:t>
      </w:r>
      <w:r w:rsidR="009C1195">
        <w:rPr>
          <w:rFonts w:ascii="Book Antiqua" w:hAnsi="Book Antiqua" w:cs="TimesNewRomanPSMT"/>
          <w:sz w:val="22"/>
          <w:szCs w:val="22"/>
        </w:rPr>
        <w:t>, an</w:t>
      </w:r>
      <w:r w:rsidRPr="005D6151">
        <w:rPr>
          <w:rFonts w:ascii="Book Antiqua" w:hAnsi="Book Antiqua" w:cs="TimesNewRomanPSMT"/>
          <w:sz w:val="22"/>
          <w:szCs w:val="22"/>
        </w:rPr>
        <w:t xml:space="preserve"> initial Method 9 </w:t>
      </w:r>
      <w:r w:rsidR="009C1195">
        <w:rPr>
          <w:rFonts w:ascii="Book Antiqua" w:hAnsi="Book Antiqua" w:cs="TimesNewRomanPSMT"/>
          <w:sz w:val="22"/>
          <w:szCs w:val="22"/>
        </w:rPr>
        <w:t>test would be</w:t>
      </w:r>
      <w:r w:rsidRPr="005D6151">
        <w:rPr>
          <w:rFonts w:ascii="Book Antiqua" w:hAnsi="Book Antiqua" w:cs="TimesNewRomanPSMT"/>
          <w:sz w:val="22"/>
          <w:szCs w:val="22"/>
        </w:rPr>
        <w:t xml:space="preserve"> required pursuant to 63.1349(b)(2), and </w:t>
      </w:r>
      <w:r w:rsidR="009C1195">
        <w:rPr>
          <w:rFonts w:ascii="Book Antiqua" w:hAnsi="Book Antiqua" w:cs="TimesNewRomanPSMT"/>
          <w:sz w:val="22"/>
          <w:szCs w:val="22"/>
        </w:rPr>
        <w:t xml:space="preserve">the visible emission testing would be </w:t>
      </w:r>
      <w:r w:rsidRPr="005D6151">
        <w:rPr>
          <w:rFonts w:ascii="Book Antiqua" w:hAnsi="Book Antiqua" w:cs="TimesNewRomanPSMT"/>
          <w:sz w:val="22"/>
          <w:szCs w:val="22"/>
        </w:rPr>
        <w:t>required at the transfer point to and from the conveying system, where malfunctions are likely to occur.</w:t>
      </w:r>
    </w:p>
    <w:p w:rsidR="00C80681" w:rsidRDefault="009C1195" w:rsidP="005C68E8">
      <w:pPr>
        <w:spacing w:after="240"/>
        <w:rPr>
          <w:rFonts w:ascii="Book Antiqua" w:hAnsi="Book Antiqua"/>
          <w:sz w:val="22"/>
          <w:szCs w:val="22"/>
        </w:rPr>
      </w:pPr>
      <w:r>
        <w:rPr>
          <w:rFonts w:ascii="Book Antiqua" w:hAnsi="Book Antiqua" w:cs="TimesNewRomanPSMT"/>
          <w:sz w:val="22"/>
          <w:szCs w:val="22"/>
        </w:rPr>
        <w:t>Again, as stated above,</w:t>
      </w:r>
      <w:r w:rsidRPr="009C1195">
        <w:rPr>
          <w:rFonts w:ascii="Book Antiqua" w:hAnsi="Book Antiqua"/>
          <w:sz w:val="22"/>
          <w:szCs w:val="22"/>
        </w:rPr>
        <w:t xml:space="preserve"> </w:t>
      </w:r>
      <w:r>
        <w:rPr>
          <w:rFonts w:ascii="Book Antiqua" w:hAnsi="Book Antiqua"/>
          <w:sz w:val="22"/>
          <w:szCs w:val="22"/>
        </w:rPr>
        <w:t xml:space="preserve"> because the 40 CFR 60 Subpart F, 60.62(c)  standard is more stringent than the 40 CFR 63 Subpart LLL, 63.1345 standard, pursuant to 40 CFR 60.62(d) and also 40 CFR 63. 1356, the 40 CFR 63 Subpart LLL 63.1345 standard does not apply.</w:t>
      </w:r>
      <w:r w:rsidR="00C12A8E">
        <w:rPr>
          <w:rFonts w:ascii="Book Antiqua" w:hAnsi="Book Antiqua"/>
          <w:sz w:val="22"/>
          <w:szCs w:val="22"/>
        </w:rPr>
        <w:t xml:space="preserve">  Initial Method 9 testing is required pursuant to 40 CFR 60.64(b)(3).</w:t>
      </w:r>
    </w:p>
    <w:p w:rsidR="008407AA" w:rsidRPr="00633A50" w:rsidRDefault="008407AA" w:rsidP="00633A50">
      <w:pPr>
        <w:pStyle w:val="BodyText"/>
        <w:jc w:val="both"/>
        <w:rPr>
          <w:rFonts w:ascii="Book Antiqua" w:hAnsi="Book Antiqua"/>
          <w:b/>
          <w:sz w:val="22"/>
        </w:rPr>
      </w:pPr>
      <w:r w:rsidRPr="00633A50">
        <w:rPr>
          <w:rFonts w:ascii="Book Antiqua" w:hAnsi="Book Antiqua"/>
          <w:b/>
          <w:sz w:val="22"/>
        </w:rPr>
        <w:t>A</w:t>
      </w:r>
      <w:r w:rsidR="00633A50">
        <w:rPr>
          <w:rFonts w:ascii="Book Antiqua" w:hAnsi="Book Antiqua"/>
          <w:b/>
          <w:sz w:val="22"/>
        </w:rPr>
        <w:t>pplicability of Previously Issued Permits</w:t>
      </w:r>
    </w:p>
    <w:p w:rsidR="008407AA" w:rsidRDefault="008407AA" w:rsidP="008407AA">
      <w:pPr>
        <w:spacing w:after="240"/>
        <w:rPr>
          <w:rFonts w:ascii="Book Antiqua" w:hAnsi="Book Antiqua"/>
          <w:sz w:val="22"/>
          <w:szCs w:val="22"/>
        </w:rPr>
      </w:pPr>
      <w:r w:rsidRPr="00700CD2">
        <w:rPr>
          <w:rFonts w:ascii="Book Antiqua" w:hAnsi="Book Antiqua"/>
          <w:sz w:val="22"/>
          <w:szCs w:val="22"/>
          <w:u w:val="single"/>
        </w:rPr>
        <w:t xml:space="preserve">Existing </w:t>
      </w:r>
      <w:r>
        <w:rPr>
          <w:rFonts w:ascii="Book Antiqua" w:hAnsi="Book Antiqua"/>
          <w:sz w:val="22"/>
          <w:szCs w:val="22"/>
          <w:u w:val="single"/>
        </w:rPr>
        <w:t>P</w:t>
      </w:r>
      <w:r w:rsidRPr="00700CD2">
        <w:rPr>
          <w:rFonts w:ascii="Book Antiqua" w:hAnsi="Book Antiqua"/>
          <w:sz w:val="22"/>
          <w:szCs w:val="22"/>
          <w:u w:val="single"/>
        </w:rPr>
        <w:t>ermits and Regulations</w:t>
      </w:r>
      <w:r>
        <w:rPr>
          <w:rFonts w:ascii="Book Antiqua" w:hAnsi="Book Antiqua"/>
          <w:sz w:val="22"/>
          <w:szCs w:val="22"/>
        </w:rPr>
        <w:t>: The conditions of this permit supplements all other previously issued air construction and operation permits for these emission units. These conditions are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and the like.</w:t>
      </w:r>
    </w:p>
    <w:p w:rsidR="00193F10" w:rsidRPr="00BB473B" w:rsidRDefault="00193F10" w:rsidP="00DA4E78">
      <w:pPr>
        <w:spacing w:after="120"/>
        <w:rPr>
          <w:rFonts w:ascii="Book Antiqua" w:hAnsi="Book Antiqua"/>
          <w:b/>
          <w:caps/>
          <w:sz w:val="22"/>
        </w:rPr>
      </w:pPr>
      <w:r w:rsidRPr="00BB473B">
        <w:rPr>
          <w:rFonts w:ascii="Book Antiqua" w:hAnsi="Book Antiqua"/>
          <w:b/>
          <w:caps/>
          <w:sz w:val="22"/>
        </w:rPr>
        <w:t>4.  Preliminary Determination</w:t>
      </w:r>
    </w:p>
    <w:p w:rsidR="00193F10" w:rsidRDefault="00193F10" w:rsidP="00DE439E">
      <w:pPr>
        <w:spacing w:after="120"/>
        <w:rPr>
          <w:sz w:val="22"/>
        </w:rPr>
      </w:pPr>
      <w:r w:rsidRPr="00BB473B">
        <w:rPr>
          <w:rFonts w:ascii="Book Antiqua" w:hAnsi="Book Antiqua"/>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383498">
        <w:rPr>
          <w:rFonts w:ascii="Book Antiqua" w:hAnsi="Book Antiqua"/>
          <w:sz w:val="22"/>
        </w:rPr>
        <w:t xml:space="preserve"> Rita Felton-Smith</w:t>
      </w:r>
      <w:r w:rsidR="00EE40FF">
        <w:rPr>
          <w:rFonts w:ascii="Book Antiqua" w:hAnsi="Book Antiqua"/>
          <w:sz w:val="22"/>
        </w:rPr>
        <w:t xml:space="preserve"> </w:t>
      </w:r>
      <w:r w:rsidRPr="00BB473B">
        <w:rPr>
          <w:rFonts w:ascii="Book Antiqua" w:hAnsi="Book Antiqua"/>
          <w:sz w:val="22"/>
        </w:rPr>
        <w:t xml:space="preserve">is the project engineer responsible for reviewing the application and drafting the permit.  Additional details of this analysis may be obtained by contacting the project engineer at the </w:t>
      </w:r>
      <w:r w:rsidR="00292004" w:rsidRPr="00BB473B">
        <w:rPr>
          <w:rFonts w:ascii="Book Antiqua" w:hAnsi="Book Antiqua"/>
          <w:sz w:val="22"/>
        </w:rPr>
        <w:t>Florida Department of Environmental Protection, Northeast District Office, 7525 Baymeadows Way, Suite 200</w:t>
      </w:r>
      <w:r w:rsidR="00DE439E" w:rsidRPr="00BB473B">
        <w:rPr>
          <w:rFonts w:ascii="Book Antiqua" w:hAnsi="Book Antiqua"/>
          <w:sz w:val="22"/>
        </w:rPr>
        <w:t>B</w:t>
      </w:r>
      <w:r w:rsidR="00292004" w:rsidRPr="00BB473B">
        <w:rPr>
          <w:rFonts w:ascii="Book Antiqua" w:hAnsi="Book Antiqua"/>
          <w:sz w:val="22"/>
        </w:rPr>
        <w:t>, Jacksonville, FL 32256-7590, Phone: 904/</w:t>
      </w:r>
      <w:r w:rsidR="00DE439E">
        <w:rPr>
          <w:rFonts w:ascii="Book Antiqua" w:hAnsi="Book Antiqua"/>
          <w:sz w:val="22"/>
        </w:rPr>
        <w:t>256-1700</w:t>
      </w:r>
      <w:r w:rsidR="00292004" w:rsidRPr="00BB473B">
        <w:rPr>
          <w:rFonts w:ascii="Book Antiqua" w:hAnsi="Book Antiqua"/>
          <w:sz w:val="22"/>
        </w:rPr>
        <w:t>.</w:t>
      </w:r>
    </w:p>
    <w:sectPr w:rsidR="00193F10" w:rsidSect="00E50051">
      <w:headerReference w:type="default" r:id="rId8"/>
      <w:footerReference w:type="default" r:id="rId9"/>
      <w:headerReference w:type="first" r:id="rId10"/>
      <w:footerReference w:type="first" r:id="rId11"/>
      <w:pgSz w:w="12240" w:h="15840" w:code="1"/>
      <w:pgMar w:top="720" w:right="1080" w:bottom="720" w:left="108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3E4" w:rsidRDefault="006003E4">
      <w:r>
        <w:separator/>
      </w:r>
    </w:p>
  </w:endnote>
  <w:endnote w:type="continuationSeparator" w:id="0">
    <w:p w:rsidR="006003E4" w:rsidRDefault="006003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7A9" w:rsidRPr="000C34C3" w:rsidRDefault="008162D4" w:rsidP="000C34C3">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007737A9">
      <w:rPr>
        <w:rStyle w:val="PageNumber"/>
        <w:rFonts w:ascii="Book Antiqua" w:hAnsi="Book Antiqua"/>
        <w:sz w:val="18"/>
        <w:szCs w:val="18"/>
      </w:rPr>
      <w:t xml:space="preserve"> </w:t>
    </w:r>
    <w:r w:rsidR="007737A9" w:rsidRPr="000C34C3">
      <w:rPr>
        <w:rStyle w:val="PageNumber"/>
        <w:rFonts w:ascii="Book Antiqua" w:hAnsi="Book Antiqua"/>
        <w:color w:val="FF0000"/>
        <w:sz w:val="18"/>
        <w:szCs w:val="18"/>
      </w:rPr>
      <w:tab/>
    </w:r>
    <w:r w:rsidR="00D62B20">
      <w:rPr>
        <w:rStyle w:val="PageNumber"/>
        <w:rFonts w:ascii="Book Antiqua" w:hAnsi="Book Antiqua"/>
        <w:color w:val="FF0000"/>
        <w:sz w:val="18"/>
        <w:szCs w:val="18"/>
      </w:rPr>
      <w:tab/>
    </w:r>
    <w:r w:rsidR="007737A9" w:rsidRPr="000C34C3">
      <w:rPr>
        <w:rStyle w:val="PageNumber"/>
        <w:rFonts w:ascii="Book Antiqua" w:hAnsi="Book Antiqua"/>
        <w:sz w:val="18"/>
        <w:szCs w:val="18"/>
      </w:rPr>
      <w:t xml:space="preserve">Air Permit No. </w:t>
    </w:r>
    <w:r>
      <w:rPr>
        <w:rStyle w:val="PageNumber"/>
        <w:rFonts w:ascii="Book Antiqua" w:hAnsi="Book Antiqua"/>
        <w:sz w:val="18"/>
        <w:szCs w:val="18"/>
      </w:rPr>
      <w:t>0010087-042</w:t>
    </w:r>
    <w:r w:rsidR="007737A9" w:rsidRPr="000C34C3">
      <w:rPr>
        <w:rStyle w:val="PageNumber"/>
        <w:rFonts w:ascii="Book Antiqua" w:hAnsi="Book Antiqua"/>
        <w:sz w:val="18"/>
        <w:szCs w:val="18"/>
      </w:rPr>
      <w:t>-AC</w:t>
    </w:r>
  </w:p>
  <w:p w:rsidR="007737A9" w:rsidRDefault="008162D4" w:rsidP="008162D4">
    <w:pPr>
      <w:pStyle w:val="Footer"/>
      <w:tabs>
        <w:tab w:val="left" w:pos="6120"/>
      </w:tabs>
      <w:ind w:left="6120" w:hanging="6120"/>
      <w:rPr>
        <w:rStyle w:val="PageNumber"/>
        <w:rFonts w:ascii="Book Antiqua" w:hAnsi="Book Antiqua"/>
        <w:sz w:val="18"/>
        <w:szCs w:val="18"/>
      </w:rPr>
    </w:pPr>
    <w:r>
      <w:rPr>
        <w:rStyle w:val="PageNumber"/>
        <w:rFonts w:ascii="Book Antiqua" w:hAnsi="Book Antiqua"/>
        <w:sz w:val="18"/>
        <w:szCs w:val="18"/>
      </w:rPr>
      <w:t>Thompson S. Baker Cement Plant - Newberry</w:t>
    </w:r>
    <w:r w:rsidR="007737A9" w:rsidRPr="000C34C3">
      <w:rPr>
        <w:rStyle w:val="PageNumber"/>
        <w:rFonts w:ascii="Book Antiqua" w:hAnsi="Book Antiqua"/>
        <w:sz w:val="18"/>
        <w:szCs w:val="18"/>
      </w:rPr>
      <w:tab/>
    </w:r>
    <w:r w:rsidR="007737A9" w:rsidRPr="000C34C3">
      <w:rPr>
        <w:rStyle w:val="PageNumber"/>
        <w:rFonts w:ascii="Book Antiqua" w:hAnsi="Book Antiqua"/>
        <w:sz w:val="18"/>
        <w:szCs w:val="18"/>
      </w:rPr>
      <w:tab/>
    </w:r>
    <w:r>
      <w:rPr>
        <w:rStyle w:val="PageNumber"/>
        <w:rFonts w:ascii="Book Antiqua" w:hAnsi="Book Antiqua"/>
        <w:sz w:val="18"/>
        <w:szCs w:val="18"/>
      </w:rPr>
      <w:t xml:space="preserve">Limestone Storage Silo &amp; </w:t>
    </w:r>
    <w:r w:rsidR="005063EE">
      <w:rPr>
        <w:rStyle w:val="PageNumber"/>
        <w:rFonts w:ascii="Book Antiqua" w:hAnsi="Book Antiqua"/>
        <w:sz w:val="18"/>
        <w:szCs w:val="18"/>
      </w:rPr>
      <w:t>Kiln ESP dust</w:t>
    </w:r>
    <w:r>
      <w:rPr>
        <w:rStyle w:val="PageNumber"/>
        <w:rFonts w:ascii="Book Antiqua" w:hAnsi="Book Antiqua"/>
        <w:sz w:val="18"/>
        <w:szCs w:val="18"/>
      </w:rPr>
      <w:t xml:space="preserve"> Transport System Tie-in</w:t>
    </w:r>
    <w:r w:rsidR="007737A9" w:rsidRPr="000F4D84">
      <w:rPr>
        <w:rStyle w:val="PageNumber"/>
        <w:rFonts w:ascii="Book Antiqua" w:hAnsi="Book Antiqua"/>
        <w:sz w:val="18"/>
        <w:szCs w:val="18"/>
      </w:rPr>
      <w:t xml:space="preserve"> Project</w:t>
    </w:r>
  </w:p>
  <w:p w:rsidR="008162D4" w:rsidRPr="000C34C3" w:rsidRDefault="008162D4" w:rsidP="008162D4">
    <w:pPr>
      <w:pStyle w:val="Footer"/>
      <w:tabs>
        <w:tab w:val="left" w:pos="6120"/>
      </w:tabs>
      <w:ind w:left="6120" w:hanging="6120"/>
      <w:rPr>
        <w:rFonts w:ascii="Book Antiqua" w:hAnsi="Book Antiqua"/>
        <w:sz w:val="18"/>
        <w:szCs w:val="18"/>
      </w:rPr>
    </w:pPr>
  </w:p>
  <w:p w:rsidR="007737A9" w:rsidRDefault="007737A9">
    <w:pPr>
      <w:pStyle w:val="Footer"/>
      <w:jc w:val="center"/>
    </w:pPr>
    <w:r w:rsidRPr="000C34C3">
      <w:rPr>
        <w:rFonts w:ascii="Book Antiqua" w:hAnsi="Book Antiqua"/>
        <w:sz w:val="18"/>
        <w:szCs w:val="18"/>
      </w:rPr>
      <w:t xml:space="preserve">Page </w:t>
    </w:r>
    <w:r w:rsidR="00142217" w:rsidRPr="000C34C3">
      <w:rPr>
        <w:rFonts w:ascii="Book Antiqua" w:hAnsi="Book Antiqua"/>
        <w:b/>
        <w:sz w:val="18"/>
        <w:szCs w:val="18"/>
      </w:rPr>
      <w:fldChar w:fldCharType="begin"/>
    </w:r>
    <w:r w:rsidRPr="000C34C3">
      <w:rPr>
        <w:rFonts w:ascii="Book Antiqua" w:hAnsi="Book Antiqua"/>
        <w:b/>
        <w:sz w:val="18"/>
        <w:szCs w:val="18"/>
      </w:rPr>
      <w:instrText xml:space="preserve"> PAGE </w:instrText>
    </w:r>
    <w:r w:rsidR="00142217" w:rsidRPr="000C34C3">
      <w:rPr>
        <w:rFonts w:ascii="Book Antiqua" w:hAnsi="Book Antiqua"/>
        <w:b/>
        <w:sz w:val="18"/>
        <w:szCs w:val="18"/>
      </w:rPr>
      <w:fldChar w:fldCharType="separate"/>
    </w:r>
    <w:r w:rsidR="004A1F5A">
      <w:rPr>
        <w:rFonts w:ascii="Book Antiqua" w:hAnsi="Book Antiqua"/>
        <w:b/>
        <w:noProof/>
        <w:sz w:val="18"/>
        <w:szCs w:val="18"/>
      </w:rPr>
      <w:t>5</w:t>
    </w:r>
    <w:r w:rsidR="00142217" w:rsidRPr="000C34C3">
      <w:rPr>
        <w:rFonts w:ascii="Book Antiqua" w:hAnsi="Book Antiqua"/>
        <w:b/>
        <w:sz w:val="18"/>
        <w:szCs w:val="18"/>
      </w:rPr>
      <w:fldChar w:fldCharType="end"/>
    </w:r>
    <w:r w:rsidRPr="000C34C3">
      <w:rPr>
        <w:rFonts w:ascii="Book Antiqua" w:hAnsi="Book Antiqua"/>
        <w:sz w:val="18"/>
        <w:szCs w:val="18"/>
      </w:rPr>
      <w:t xml:space="preserve"> of </w:t>
    </w:r>
    <w:r w:rsidR="00142217" w:rsidRPr="000C34C3">
      <w:rPr>
        <w:rFonts w:ascii="Book Antiqua" w:hAnsi="Book Antiqua"/>
        <w:b/>
        <w:sz w:val="18"/>
        <w:szCs w:val="18"/>
      </w:rPr>
      <w:fldChar w:fldCharType="begin"/>
    </w:r>
    <w:r w:rsidRPr="000C34C3">
      <w:rPr>
        <w:rFonts w:ascii="Book Antiqua" w:hAnsi="Book Antiqua"/>
        <w:b/>
        <w:sz w:val="18"/>
        <w:szCs w:val="18"/>
      </w:rPr>
      <w:instrText xml:space="preserve"> NUMPAGES  </w:instrText>
    </w:r>
    <w:r w:rsidR="00142217" w:rsidRPr="000C34C3">
      <w:rPr>
        <w:rFonts w:ascii="Book Antiqua" w:hAnsi="Book Antiqua"/>
        <w:b/>
        <w:sz w:val="18"/>
        <w:szCs w:val="18"/>
      </w:rPr>
      <w:fldChar w:fldCharType="separate"/>
    </w:r>
    <w:r w:rsidR="004A1F5A">
      <w:rPr>
        <w:rFonts w:ascii="Book Antiqua" w:hAnsi="Book Antiqua"/>
        <w:b/>
        <w:noProof/>
        <w:sz w:val="18"/>
        <w:szCs w:val="18"/>
      </w:rPr>
      <w:t>9</w:t>
    </w:r>
    <w:r w:rsidR="00142217" w:rsidRPr="000C34C3">
      <w:rPr>
        <w:rFonts w:ascii="Book Antiqua" w:hAnsi="Book Antiqua"/>
        <w:b/>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7A9" w:rsidRDefault="007737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3E4" w:rsidRDefault="006003E4">
      <w:r>
        <w:separator/>
      </w:r>
    </w:p>
  </w:footnote>
  <w:footnote w:type="continuationSeparator" w:id="0">
    <w:p w:rsidR="006003E4" w:rsidRDefault="006003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7A9" w:rsidRPr="004B2C08" w:rsidRDefault="007737A9">
    <w:pPr>
      <w:pStyle w:val="Header"/>
      <w:pBdr>
        <w:bottom w:val="single" w:sz="6" w:space="1" w:color="auto"/>
      </w:pBdr>
      <w:spacing w:after="240"/>
      <w:jc w:val="center"/>
      <w:rPr>
        <w:rFonts w:ascii="Book Antiqua" w:hAnsi="Book Antiqua"/>
        <w:b/>
        <w:caps/>
        <w:sz w:val="22"/>
        <w:u w:val="single"/>
      </w:rPr>
    </w:pPr>
    <w:r w:rsidRPr="004B2C08">
      <w:rPr>
        <w:rFonts w:ascii="Book Antiqua" w:hAnsi="Book Antiqua"/>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7A9" w:rsidRDefault="007737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E5DAD"/>
    <w:multiLevelType w:val="hybridMultilevel"/>
    <w:tmpl w:val="6AE43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F802BC"/>
    <w:multiLevelType w:val="singleLevel"/>
    <w:tmpl w:val="FDAC5272"/>
    <w:lvl w:ilvl="0">
      <w:start w:val="1"/>
      <w:numFmt w:val="decimal"/>
      <w:lvlText w:val="%1."/>
      <w:lvlJc w:val="left"/>
      <w:pPr>
        <w:tabs>
          <w:tab w:val="num" w:pos="360"/>
        </w:tabs>
        <w:ind w:left="360" w:hanging="360"/>
      </w:pPr>
    </w:lvl>
  </w:abstractNum>
  <w:abstractNum w:abstractNumId="15">
    <w:nsid w:val="5CC70F8B"/>
    <w:multiLevelType w:val="hybridMultilevel"/>
    <w:tmpl w:val="4E6E60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F67762"/>
    <w:multiLevelType w:val="hybridMultilevel"/>
    <w:tmpl w:val="0F127DE6"/>
    <w:lvl w:ilvl="0" w:tplc="72CEAFD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74268C8"/>
    <w:multiLevelType w:val="hybridMultilevel"/>
    <w:tmpl w:val="301AC842"/>
    <w:lvl w:ilvl="0" w:tplc="27A671D4">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0"/>
  </w:num>
  <w:num w:numId="4">
    <w:abstractNumId w:val="4"/>
  </w:num>
  <w:num w:numId="5">
    <w:abstractNumId w:val="17"/>
  </w:num>
  <w:num w:numId="6">
    <w:abstractNumId w:val="3"/>
  </w:num>
  <w:num w:numId="7">
    <w:abstractNumId w:val="2"/>
  </w:num>
  <w:num w:numId="8">
    <w:abstractNumId w:val="22"/>
  </w:num>
  <w:num w:numId="9">
    <w:abstractNumId w:val="8"/>
  </w:num>
  <w:num w:numId="10">
    <w:abstractNumId w:val="16"/>
  </w:num>
  <w:num w:numId="11">
    <w:abstractNumId w:val="10"/>
  </w:num>
  <w:num w:numId="12">
    <w:abstractNumId w:val="1"/>
  </w:num>
  <w:num w:numId="13">
    <w:abstractNumId w:val="13"/>
  </w:num>
  <w:num w:numId="14">
    <w:abstractNumId w:val="12"/>
  </w:num>
  <w:num w:numId="15">
    <w:abstractNumId w:val="9"/>
  </w:num>
  <w:num w:numId="16">
    <w:abstractNumId w:val="18"/>
  </w:num>
  <w:num w:numId="17">
    <w:abstractNumId w:val="14"/>
  </w:num>
  <w:num w:numId="18">
    <w:abstractNumId w:val="6"/>
  </w:num>
  <w:num w:numId="19">
    <w:abstractNumId w:val="11"/>
  </w:num>
  <w:num w:numId="20">
    <w:abstractNumId w:val="21"/>
  </w:num>
  <w:num w:numId="21">
    <w:abstractNumId w:val="19"/>
  </w:num>
  <w:num w:numId="22">
    <w:abstractNumId w:val="15"/>
  </w:num>
  <w:num w:numId="23">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70657"/>
  </w:hdrShapeDefaults>
  <w:footnotePr>
    <w:footnote w:id="-1"/>
    <w:footnote w:id="0"/>
  </w:footnotePr>
  <w:endnotePr>
    <w:endnote w:id="-1"/>
    <w:endnote w:id="0"/>
  </w:endnotePr>
  <w:compat/>
  <w:rsids>
    <w:rsidRoot w:val="00193F10"/>
    <w:rsid w:val="000059CB"/>
    <w:rsid w:val="00007C5D"/>
    <w:rsid w:val="00010499"/>
    <w:rsid w:val="00010F0D"/>
    <w:rsid w:val="00011A5D"/>
    <w:rsid w:val="000220FB"/>
    <w:rsid w:val="00023A9C"/>
    <w:rsid w:val="00024E32"/>
    <w:rsid w:val="00026E9B"/>
    <w:rsid w:val="0003521E"/>
    <w:rsid w:val="000444E4"/>
    <w:rsid w:val="000548D2"/>
    <w:rsid w:val="00054F49"/>
    <w:rsid w:val="00055086"/>
    <w:rsid w:val="00056DA1"/>
    <w:rsid w:val="0006146B"/>
    <w:rsid w:val="0006630A"/>
    <w:rsid w:val="00066706"/>
    <w:rsid w:val="00074479"/>
    <w:rsid w:val="000750E0"/>
    <w:rsid w:val="00076156"/>
    <w:rsid w:val="00083BD8"/>
    <w:rsid w:val="000844DE"/>
    <w:rsid w:val="00095684"/>
    <w:rsid w:val="00096160"/>
    <w:rsid w:val="000A0BAC"/>
    <w:rsid w:val="000A43BA"/>
    <w:rsid w:val="000B3073"/>
    <w:rsid w:val="000B3948"/>
    <w:rsid w:val="000B4023"/>
    <w:rsid w:val="000B4B28"/>
    <w:rsid w:val="000B6940"/>
    <w:rsid w:val="000B7E74"/>
    <w:rsid w:val="000C22D9"/>
    <w:rsid w:val="000C34C3"/>
    <w:rsid w:val="000C5143"/>
    <w:rsid w:val="000C6173"/>
    <w:rsid w:val="000D183A"/>
    <w:rsid w:val="000D1C85"/>
    <w:rsid w:val="000E0B5C"/>
    <w:rsid w:val="000E19D0"/>
    <w:rsid w:val="000E7218"/>
    <w:rsid w:val="000F3D01"/>
    <w:rsid w:val="000F5193"/>
    <w:rsid w:val="000F7C26"/>
    <w:rsid w:val="001005AE"/>
    <w:rsid w:val="00101D1C"/>
    <w:rsid w:val="00112FD1"/>
    <w:rsid w:val="00120257"/>
    <w:rsid w:val="001257DF"/>
    <w:rsid w:val="00126957"/>
    <w:rsid w:val="001308C7"/>
    <w:rsid w:val="00131FA2"/>
    <w:rsid w:val="001336DA"/>
    <w:rsid w:val="00136B63"/>
    <w:rsid w:val="00142217"/>
    <w:rsid w:val="0014235F"/>
    <w:rsid w:val="00147CD4"/>
    <w:rsid w:val="00150071"/>
    <w:rsid w:val="001505C3"/>
    <w:rsid w:val="00155158"/>
    <w:rsid w:val="001566D3"/>
    <w:rsid w:val="00165C24"/>
    <w:rsid w:val="00176B64"/>
    <w:rsid w:val="001771DC"/>
    <w:rsid w:val="00181F87"/>
    <w:rsid w:val="00190B4F"/>
    <w:rsid w:val="00190E97"/>
    <w:rsid w:val="00192E20"/>
    <w:rsid w:val="00193F10"/>
    <w:rsid w:val="00193FEE"/>
    <w:rsid w:val="00194AA6"/>
    <w:rsid w:val="001A27A9"/>
    <w:rsid w:val="001B7C39"/>
    <w:rsid w:val="001C07A3"/>
    <w:rsid w:val="001C4E37"/>
    <w:rsid w:val="001D487F"/>
    <w:rsid w:val="001D5978"/>
    <w:rsid w:val="001E0ABF"/>
    <w:rsid w:val="001E0EE9"/>
    <w:rsid w:val="001E220F"/>
    <w:rsid w:val="001E496E"/>
    <w:rsid w:val="001E6852"/>
    <w:rsid w:val="001F0C44"/>
    <w:rsid w:val="001F18F7"/>
    <w:rsid w:val="001F384D"/>
    <w:rsid w:val="00205A9C"/>
    <w:rsid w:val="00205E8F"/>
    <w:rsid w:val="00210D50"/>
    <w:rsid w:val="00212305"/>
    <w:rsid w:val="00213310"/>
    <w:rsid w:val="00215433"/>
    <w:rsid w:val="00215AE8"/>
    <w:rsid w:val="0022347B"/>
    <w:rsid w:val="002246E8"/>
    <w:rsid w:val="00227D82"/>
    <w:rsid w:val="00233703"/>
    <w:rsid w:val="00240C93"/>
    <w:rsid w:val="002442AD"/>
    <w:rsid w:val="002536A0"/>
    <w:rsid w:val="00266F9F"/>
    <w:rsid w:val="0027734D"/>
    <w:rsid w:val="00292004"/>
    <w:rsid w:val="00294E9A"/>
    <w:rsid w:val="002A28C2"/>
    <w:rsid w:val="002B0682"/>
    <w:rsid w:val="002B7883"/>
    <w:rsid w:val="002C7057"/>
    <w:rsid w:val="002F0C56"/>
    <w:rsid w:val="002F0E6E"/>
    <w:rsid w:val="002F730B"/>
    <w:rsid w:val="002F7F9C"/>
    <w:rsid w:val="00300413"/>
    <w:rsid w:val="003063B5"/>
    <w:rsid w:val="00306E92"/>
    <w:rsid w:val="00307041"/>
    <w:rsid w:val="00314E04"/>
    <w:rsid w:val="00317D3B"/>
    <w:rsid w:val="00323C7A"/>
    <w:rsid w:val="00325AD5"/>
    <w:rsid w:val="00327118"/>
    <w:rsid w:val="00335879"/>
    <w:rsid w:val="0033621F"/>
    <w:rsid w:val="00336307"/>
    <w:rsid w:val="00336FA8"/>
    <w:rsid w:val="00340582"/>
    <w:rsid w:val="00343866"/>
    <w:rsid w:val="003438B4"/>
    <w:rsid w:val="0034430F"/>
    <w:rsid w:val="00351EAA"/>
    <w:rsid w:val="00353594"/>
    <w:rsid w:val="00356EB6"/>
    <w:rsid w:val="00362B27"/>
    <w:rsid w:val="0036621A"/>
    <w:rsid w:val="00366EB9"/>
    <w:rsid w:val="00377C06"/>
    <w:rsid w:val="00383498"/>
    <w:rsid w:val="003858DE"/>
    <w:rsid w:val="00386FA4"/>
    <w:rsid w:val="00397E8B"/>
    <w:rsid w:val="003A0E06"/>
    <w:rsid w:val="003A3C29"/>
    <w:rsid w:val="003B2FC7"/>
    <w:rsid w:val="003B4F55"/>
    <w:rsid w:val="003B57BA"/>
    <w:rsid w:val="003B6447"/>
    <w:rsid w:val="003D0BC3"/>
    <w:rsid w:val="003D1C9F"/>
    <w:rsid w:val="003D5965"/>
    <w:rsid w:val="003D6012"/>
    <w:rsid w:val="003D6866"/>
    <w:rsid w:val="003E2F21"/>
    <w:rsid w:val="003E43A2"/>
    <w:rsid w:val="003E5715"/>
    <w:rsid w:val="003E683A"/>
    <w:rsid w:val="003E753D"/>
    <w:rsid w:val="003E772A"/>
    <w:rsid w:val="003F298E"/>
    <w:rsid w:val="003F6460"/>
    <w:rsid w:val="003F669B"/>
    <w:rsid w:val="004005D8"/>
    <w:rsid w:val="00402448"/>
    <w:rsid w:val="0041020C"/>
    <w:rsid w:val="00413FB1"/>
    <w:rsid w:val="00414AA6"/>
    <w:rsid w:val="00426253"/>
    <w:rsid w:val="00433F36"/>
    <w:rsid w:val="004414F2"/>
    <w:rsid w:val="00446143"/>
    <w:rsid w:val="00446B5E"/>
    <w:rsid w:val="00446CB2"/>
    <w:rsid w:val="004508FB"/>
    <w:rsid w:val="004521F6"/>
    <w:rsid w:val="0046068D"/>
    <w:rsid w:val="00464DAD"/>
    <w:rsid w:val="00465504"/>
    <w:rsid w:val="00465A53"/>
    <w:rsid w:val="0047177E"/>
    <w:rsid w:val="004857DD"/>
    <w:rsid w:val="00491836"/>
    <w:rsid w:val="00495E98"/>
    <w:rsid w:val="004A1F5A"/>
    <w:rsid w:val="004A2CFB"/>
    <w:rsid w:val="004B2A23"/>
    <w:rsid w:val="004B2C08"/>
    <w:rsid w:val="004B55BA"/>
    <w:rsid w:val="004B5B4B"/>
    <w:rsid w:val="004B668D"/>
    <w:rsid w:val="004B736E"/>
    <w:rsid w:val="004B7BF1"/>
    <w:rsid w:val="004C0984"/>
    <w:rsid w:val="004C248D"/>
    <w:rsid w:val="004C3AE3"/>
    <w:rsid w:val="004C58B8"/>
    <w:rsid w:val="004C5DEA"/>
    <w:rsid w:val="004D223E"/>
    <w:rsid w:val="004D7DD5"/>
    <w:rsid w:val="004E0F0B"/>
    <w:rsid w:val="004E1527"/>
    <w:rsid w:val="004E424B"/>
    <w:rsid w:val="004E43E4"/>
    <w:rsid w:val="004E53E6"/>
    <w:rsid w:val="00501738"/>
    <w:rsid w:val="00505817"/>
    <w:rsid w:val="005063EE"/>
    <w:rsid w:val="005072B3"/>
    <w:rsid w:val="0051094C"/>
    <w:rsid w:val="005130D8"/>
    <w:rsid w:val="00514649"/>
    <w:rsid w:val="00527657"/>
    <w:rsid w:val="005310E0"/>
    <w:rsid w:val="00533A14"/>
    <w:rsid w:val="00541A01"/>
    <w:rsid w:val="0054287A"/>
    <w:rsid w:val="00544AC7"/>
    <w:rsid w:val="00544EF1"/>
    <w:rsid w:val="00550BC6"/>
    <w:rsid w:val="00551F2C"/>
    <w:rsid w:val="00566DED"/>
    <w:rsid w:val="00571436"/>
    <w:rsid w:val="0057160A"/>
    <w:rsid w:val="00582B1F"/>
    <w:rsid w:val="005844F6"/>
    <w:rsid w:val="00584939"/>
    <w:rsid w:val="005870B7"/>
    <w:rsid w:val="00591596"/>
    <w:rsid w:val="00592508"/>
    <w:rsid w:val="00594ABD"/>
    <w:rsid w:val="005A39A4"/>
    <w:rsid w:val="005A59F3"/>
    <w:rsid w:val="005A6D80"/>
    <w:rsid w:val="005C68E8"/>
    <w:rsid w:val="005C7509"/>
    <w:rsid w:val="005D6151"/>
    <w:rsid w:val="005D755F"/>
    <w:rsid w:val="005D7F86"/>
    <w:rsid w:val="005E0C43"/>
    <w:rsid w:val="005E1450"/>
    <w:rsid w:val="005E2DEF"/>
    <w:rsid w:val="005E41FB"/>
    <w:rsid w:val="005E47EC"/>
    <w:rsid w:val="005E78DC"/>
    <w:rsid w:val="005F4C32"/>
    <w:rsid w:val="006003E4"/>
    <w:rsid w:val="0060214D"/>
    <w:rsid w:val="006032FF"/>
    <w:rsid w:val="00604475"/>
    <w:rsid w:val="006069BE"/>
    <w:rsid w:val="0061716A"/>
    <w:rsid w:val="006226D3"/>
    <w:rsid w:val="00633A50"/>
    <w:rsid w:val="00637DF4"/>
    <w:rsid w:val="00641551"/>
    <w:rsid w:val="00650F3D"/>
    <w:rsid w:val="0065214A"/>
    <w:rsid w:val="006565BE"/>
    <w:rsid w:val="00657BC4"/>
    <w:rsid w:val="006735F9"/>
    <w:rsid w:val="006741AA"/>
    <w:rsid w:val="00674BAE"/>
    <w:rsid w:val="00676494"/>
    <w:rsid w:val="00680D2F"/>
    <w:rsid w:val="00684184"/>
    <w:rsid w:val="00685970"/>
    <w:rsid w:val="00693764"/>
    <w:rsid w:val="00696093"/>
    <w:rsid w:val="006A2900"/>
    <w:rsid w:val="006A49C5"/>
    <w:rsid w:val="006A6C42"/>
    <w:rsid w:val="006B25A6"/>
    <w:rsid w:val="006B26BD"/>
    <w:rsid w:val="006C2DC6"/>
    <w:rsid w:val="006C7499"/>
    <w:rsid w:val="006D172C"/>
    <w:rsid w:val="006D73AB"/>
    <w:rsid w:val="006D7469"/>
    <w:rsid w:val="006E4504"/>
    <w:rsid w:val="006E7574"/>
    <w:rsid w:val="006E7846"/>
    <w:rsid w:val="006F46DA"/>
    <w:rsid w:val="006F5D91"/>
    <w:rsid w:val="0070214D"/>
    <w:rsid w:val="007039A6"/>
    <w:rsid w:val="00704FA8"/>
    <w:rsid w:val="0070585F"/>
    <w:rsid w:val="007079D0"/>
    <w:rsid w:val="0071058E"/>
    <w:rsid w:val="007133D1"/>
    <w:rsid w:val="007142B1"/>
    <w:rsid w:val="00722F6D"/>
    <w:rsid w:val="00723A9D"/>
    <w:rsid w:val="00731C64"/>
    <w:rsid w:val="0073271D"/>
    <w:rsid w:val="00732944"/>
    <w:rsid w:val="00735153"/>
    <w:rsid w:val="007357CA"/>
    <w:rsid w:val="00737843"/>
    <w:rsid w:val="00741F1A"/>
    <w:rsid w:val="00742562"/>
    <w:rsid w:val="00744A86"/>
    <w:rsid w:val="00745867"/>
    <w:rsid w:val="00745F97"/>
    <w:rsid w:val="00746193"/>
    <w:rsid w:val="007527D9"/>
    <w:rsid w:val="007546CC"/>
    <w:rsid w:val="007549CB"/>
    <w:rsid w:val="00754F8A"/>
    <w:rsid w:val="0075646B"/>
    <w:rsid w:val="0076283D"/>
    <w:rsid w:val="007737A9"/>
    <w:rsid w:val="007747AA"/>
    <w:rsid w:val="00777406"/>
    <w:rsid w:val="00781432"/>
    <w:rsid w:val="00782ABD"/>
    <w:rsid w:val="00784617"/>
    <w:rsid w:val="007871B3"/>
    <w:rsid w:val="00792AB2"/>
    <w:rsid w:val="007953F9"/>
    <w:rsid w:val="007A1BFA"/>
    <w:rsid w:val="007A7A91"/>
    <w:rsid w:val="007B20B5"/>
    <w:rsid w:val="007D4981"/>
    <w:rsid w:val="007E119F"/>
    <w:rsid w:val="007E3032"/>
    <w:rsid w:val="007E6DDA"/>
    <w:rsid w:val="007F01AB"/>
    <w:rsid w:val="007F0C20"/>
    <w:rsid w:val="007F44F2"/>
    <w:rsid w:val="008000A7"/>
    <w:rsid w:val="008008F8"/>
    <w:rsid w:val="00800EC2"/>
    <w:rsid w:val="008010CB"/>
    <w:rsid w:val="0080478F"/>
    <w:rsid w:val="00810848"/>
    <w:rsid w:val="008108FC"/>
    <w:rsid w:val="0081156D"/>
    <w:rsid w:val="00815C9D"/>
    <w:rsid w:val="008162D4"/>
    <w:rsid w:val="00816BD5"/>
    <w:rsid w:val="008248A8"/>
    <w:rsid w:val="00835018"/>
    <w:rsid w:val="00835978"/>
    <w:rsid w:val="008407AA"/>
    <w:rsid w:val="00842717"/>
    <w:rsid w:val="0084542B"/>
    <w:rsid w:val="0085471B"/>
    <w:rsid w:val="00862741"/>
    <w:rsid w:val="00863079"/>
    <w:rsid w:val="00863B3A"/>
    <w:rsid w:val="0086689E"/>
    <w:rsid w:val="00883755"/>
    <w:rsid w:val="008868AC"/>
    <w:rsid w:val="0089403F"/>
    <w:rsid w:val="00894735"/>
    <w:rsid w:val="00895870"/>
    <w:rsid w:val="00896880"/>
    <w:rsid w:val="00897CAB"/>
    <w:rsid w:val="008B6687"/>
    <w:rsid w:val="008B7129"/>
    <w:rsid w:val="008C13FC"/>
    <w:rsid w:val="008C307F"/>
    <w:rsid w:val="008C7EA4"/>
    <w:rsid w:val="008D1E16"/>
    <w:rsid w:val="008D1F19"/>
    <w:rsid w:val="008E26AA"/>
    <w:rsid w:val="008E30A2"/>
    <w:rsid w:val="008E61AD"/>
    <w:rsid w:val="008F0330"/>
    <w:rsid w:val="008F293B"/>
    <w:rsid w:val="008F78BB"/>
    <w:rsid w:val="008F7D72"/>
    <w:rsid w:val="00900D51"/>
    <w:rsid w:val="00910A2D"/>
    <w:rsid w:val="0092164A"/>
    <w:rsid w:val="00925E38"/>
    <w:rsid w:val="0093238E"/>
    <w:rsid w:val="0093678D"/>
    <w:rsid w:val="009416F8"/>
    <w:rsid w:val="00944EEB"/>
    <w:rsid w:val="00945860"/>
    <w:rsid w:val="0095481A"/>
    <w:rsid w:val="0095553D"/>
    <w:rsid w:val="00956EB6"/>
    <w:rsid w:val="00962587"/>
    <w:rsid w:val="00963ED0"/>
    <w:rsid w:val="00965269"/>
    <w:rsid w:val="009714A6"/>
    <w:rsid w:val="00980C45"/>
    <w:rsid w:val="009816BA"/>
    <w:rsid w:val="009819DB"/>
    <w:rsid w:val="00983BE7"/>
    <w:rsid w:val="0098666A"/>
    <w:rsid w:val="00991C6B"/>
    <w:rsid w:val="0099285F"/>
    <w:rsid w:val="009939EE"/>
    <w:rsid w:val="00994C29"/>
    <w:rsid w:val="009A56D7"/>
    <w:rsid w:val="009A6F16"/>
    <w:rsid w:val="009B2535"/>
    <w:rsid w:val="009C1195"/>
    <w:rsid w:val="009C11DC"/>
    <w:rsid w:val="009C1FDD"/>
    <w:rsid w:val="009C39D4"/>
    <w:rsid w:val="009E0DC1"/>
    <w:rsid w:val="009F234F"/>
    <w:rsid w:val="009F6BF4"/>
    <w:rsid w:val="00A01E0F"/>
    <w:rsid w:val="00A04C8F"/>
    <w:rsid w:val="00A06AC1"/>
    <w:rsid w:val="00A12919"/>
    <w:rsid w:val="00A14F49"/>
    <w:rsid w:val="00A23B98"/>
    <w:rsid w:val="00A32C62"/>
    <w:rsid w:val="00A36D8D"/>
    <w:rsid w:val="00A4171E"/>
    <w:rsid w:val="00A41889"/>
    <w:rsid w:val="00A43347"/>
    <w:rsid w:val="00A475FC"/>
    <w:rsid w:val="00A47C00"/>
    <w:rsid w:val="00A52F61"/>
    <w:rsid w:val="00A537D1"/>
    <w:rsid w:val="00A607F1"/>
    <w:rsid w:val="00A62376"/>
    <w:rsid w:val="00A754BE"/>
    <w:rsid w:val="00A8274A"/>
    <w:rsid w:val="00A83DF5"/>
    <w:rsid w:val="00A87145"/>
    <w:rsid w:val="00A938D5"/>
    <w:rsid w:val="00A9414E"/>
    <w:rsid w:val="00AA11B0"/>
    <w:rsid w:val="00AA204F"/>
    <w:rsid w:val="00AA40B5"/>
    <w:rsid w:val="00AA4CB4"/>
    <w:rsid w:val="00AB1D95"/>
    <w:rsid w:val="00AB36F9"/>
    <w:rsid w:val="00AC4195"/>
    <w:rsid w:val="00AC6F94"/>
    <w:rsid w:val="00AC7214"/>
    <w:rsid w:val="00AC7CE7"/>
    <w:rsid w:val="00AC7D56"/>
    <w:rsid w:val="00AE1DB7"/>
    <w:rsid w:val="00AE66CD"/>
    <w:rsid w:val="00AE7488"/>
    <w:rsid w:val="00AF0556"/>
    <w:rsid w:val="00AF06C3"/>
    <w:rsid w:val="00AF11BF"/>
    <w:rsid w:val="00AF2BB8"/>
    <w:rsid w:val="00AF5407"/>
    <w:rsid w:val="00B01EFC"/>
    <w:rsid w:val="00B04733"/>
    <w:rsid w:val="00B0588D"/>
    <w:rsid w:val="00B079AF"/>
    <w:rsid w:val="00B103DE"/>
    <w:rsid w:val="00B10EDD"/>
    <w:rsid w:val="00B15251"/>
    <w:rsid w:val="00B16CD7"/>
    <w:rsid w:val="00B22565"/>
    <w:rsid w:val="00B27490"/>
    <w:rsid w:val="00B303F6"/>
    <w:rsid w:val="00B32322"/>
    <w:rsid w:val="00B45BD7"/>
    <w:rsid w:val="00B50804"/>
    <w:rsid w:val="00B518C2"/>
    <w:rsid w:val="00B53223"/>
    <w:rsid w:val="00B5748D"/>
    <w:rsid w:val="00B641F3"/>
    <w:rsid w:val="00B646A9"/>
    <w:rsid w:val="00B66480"/>
    <w:rsid w:val="00B7082F"/>
    <w:rsid w:val="00B74730"/>
    <w:rsid w:val="00B86E48"/>
    <w:rsid w:val="00B9569C"/>
    <w:rsid w:val="00B95805"/>
    <w:rsid w:val="00B97573"/>
    <w:rsid w:val="00BA17B8"/>
    <w:rsid w:val="00BA279A"/>
    <w:rsid w:val="00BA2DE2"/>
    <w:rsid w:val="00BA4EC0"/>
    <w:rsid w:val="00BA5A01"/>
    <w:rsid w:val="00BA633A"/>
    <w:rsid w:val="00BB1087"/>
    <w:rsid w:val="00BB473B"/>
    <w:rsid w:val="00BC4D08"/>
    <w:rsid w:val="00BD0C84"/>
    <w:rsid w:val="00BD3FDF"/>
    <w:rsid w:val="00BD541D"/>
    <w:rsid w:val="00BD6C6D"/>
    <w:rsid w:val="00BE173E"/>
    <w:rsid w:val="00BE303A"/>
    <w:rsid w:val="00BE4D2F"/>
    <w:rsid w:val="00BE66D3"/>
    <w:rsid w:val="00BF20CE"/>
    <w:rsid w:val="00BF7702"/>
    <w:rsid w:val="00C1185B"/>
    <w:rsid w:val="00C12A8E"/>
    <w:rsid w:val="00C31D77"/>
    <w:rsid w:val="00C36EFA"/>
    <w:rsid w:val="00C45C39"/>
    <w:rsid w:val="00C46516"/>
    <w:rsid w:val="00C502D1"/>
    <w:rsid w:val="00C505E2"/>
    <w:rsid w:val="00C50DDC"/>
    <w:rsid w:val="00C62D8D"/>
    <w:rsid w:val="00C63947"/>
    <w:rsid w:val="00C6659C"/>
    <w:rsid w:val="00C80681"/>
    <w:rsid w:val="00C86CE3"/>
    <w:rsid w:val="00C93C36"/>
    <w:rsid w:val="00C956E4"/>
    <w:rsid w:val="00C9578D"/>
    <w:rsid w:val="00C95EF5"/>
    <w:rsid w:val="00C96826"/>
    <w:rsid w:val="00CA265E"/>
    <w:rsid w:val="00CA3B2F"/>
    <w:rsid w:val="00CA6480"/>
    <w:rsid w:val="00CB469F"/>
    <w:rsid w:val="00CC35CE"/>
    <w:rsid w:val="00CE5528"/>
    <w:rsid w:val="00CE76C8"/>
    <w:rsid w:val="00CE79ED"/>
    <w:rsid w:val="00CF30D0"/>
    <w:rsid w:val="00D01CA5"/>
    <w:rsid w:val="00D05316"/>
    <w:rsid w:val="00D0796E"/>
    <w:rsid w:val="00D1124B"/>
    <w:rsid w:val="00D201FA"/>
    <w:rsid w:val="00D2143D"/>
    <w:rsid w:val="00D21E0B"/>
    <w:rsid w:val="00D22A30"/>
    <w:rsid w:val="00D27FAB"/>
    <w:rsid w:val="00D33FCE"/>
    <w:rsid w:val="00D3789B"/>
    <w:rsid w:val="00D4338D"/>
    <w:rsid w:val="00D45291"/>
    <w:rsid w:val="00D47A90"/>
    <w:rsid w:val="00D5052A"/>
    <w:rsid w:val="00D51D78"/>
    <w:rsid w:val="00D535BA"/>
    <w:rsid w:val="00D57D0C"/>
    <w:rsid w:val="00D62B20"/>
    <w:rsid w:val="00D727AB"/>
    <w:rsid w:val="00D75D6B"/>
    <w:rsid w:val="00D84CD7"/>
    <w:rsid w:val="00D86CF1"/>
    <w:rsid w:val="00D9084D"/>
    <w:rsid w:val="00DA4E78"/>
    <w:rsid w:val="00DA51BC"/>
    <w:rsid w:val="00DA6B46"/>
    <w:rsid w:val="00DA708C"/>
    <w:rsid w:val="00DB4E11"/>
    <w:rsid w:val="00DB7279"/>
    <w:rsid w:val="00DC0BAF"/>
    <w:rsid w:val="00DC265A"/>
    <w:rsid w:val="00DC4D71"/>
    <w:rsid w:val="00DC6E00"/>
    <w:rsid w:val="00DD1C5F"/>
    <w:rsid w:val="00DD4E7F"/>
    <w:rsid w:val="00DD530C"/>
    <w:rsid w:val="00DE1886"/>
    <w:rsid w:val="00DE2009"/>
    <w:rsid w:val="00DE439E"/>
    <w:rsid w:val="00DF41FD"/>
    <w:rsid w:val="00DF4F87"/>
    <w:rsid w:val="00E10138"/>
    <w:rsid w:val="00E11F79"/>
    <w:rsid w:val="00E12BBB"/>
    <w:rsid w:val="00E13ED4"/>
    <w:rsid w:val="00E2356F"/>
    <w:rsid w:val="00E30139"/>
    <w:rsid w:val="00E350FC"/>
    <w:rsid w:val="00E40CFF"/>
    <w:rsid w:val="00E43DA7"/>
    <w:rsid w:val="00E471E7"/>
    <w:rsid w:val="00E50051"/>
    <w:rsid w:val="00E5097C"/>
    <w:rsid w:val="00E559B1"/>
    <w:rsid w:val="00E56DC8"/>
    <w:rsid w:val="00E57ADF"/>
    <w:rsid w:val="00E60609"/>
    <w:rsid w:val="00E607EE"/>
    <w:rsid w:val="00E63EF3"/>
    <w:rsid w:val="00E63FD8"/>
    <w:rsid w:val="00E71D28"/>
    <w:rsid w:val="00E73171"/>
    <w:rsid w:val="00E77CD3"/>
    <w:rsid w:val="00E84B3B"/>
    <w:rsid w:val="00E86E77"/>
    <w:rsid w:val="00E90403"/>
    <w:rsid w:val="00E926FC"/>
    <w:rsid w:val="00E9423E"/>
    <w:rsid w:val="00E951B8"/>
    <w:rsid w:val="00EA08DD"/>
    <w:rsid w:val="00EA08E8"/>
    <w:rsid w:val="00EA0E22"/>
    <w:rsid w:val="00EA5895"/>
    <w:rsid w:val="00EB0A00"/>
    <w:rsid w:val="00EB2BF7"/>
    <w:rsid w:val="00EB2EA1"/>
    <w:rsid w:val="00EB4EF0"/>
    <w:rsid w:val="00EB50DD"/>
    <w:rsid w:val="00EB5A3D"/>
    <w:rsid w:val="00EC3349"/>
    <w:rsid w:val="00EC344E"/>
    <w:rsid w:val="00EC3C70"/>
    <w:rsid w:val="00EC5A0A"/>
    <w:rsid w:val="00ED1B7C"/>
    <w:rsid w:val="00ED6737"/>
    <w:rsid w:val="00ED72A2"/>
    <w:rsid w:val="00EE187F"/>
    <w:rsid w:val="00EE40FF"/>
    <w:rsid w:val="00EE443F"/>
    <w:rsid w:val="00EE6112"/>
    <w:rsid w:val="00EF5AC4"/>
    <w:rsid w:val="00F00884"/>
    <w:rsid w:val="00F02FDD"/>
    <w:rsid w:val="00F03721"/>
    <w:rsid w:val="00F039B9"/>
    <w:rsid w:val="00F22979"/>
    <w:rsid w:val="00F22A93"/>
    <w:rsid w:val="00F23D7E"/>
    <w:rsid w:val="00F31195"/>
    <w:rsid w:val="00F3319A"/>
    <w:rsid w:val="00F364E9"/>
    <w:rsid w:val="00F40C1E"/>
    <w:rsid w:val="00F41C57"/>
    <w:rsid w:val="00F41DC1"/>
    <w:rsid w:val="00F55B79"/>
    <w:rsid w:val="00F55B83"/>
    <w:rsid w:val="00F60E73"/>
    <w:rsid w:val="00F65015"/>
    <w:rsid w:val="00F673CE"/>
    <w:rsid w:val="00F71458"/>
    <w:rsid w:val="00F76280"/>
    <w:rsid w:val="00F77D22"/>
    <w:rsid w:val="00F80A7E"/>
    <w:rsid w:val="00F80F94"/>
    <w:rsid w:val="00F8633C"/>
    <w:rsid w:val="00F8700A"/>
    <w:rsid w:val="00F9339A"/>
    <w:rsid w:val="00F94174"/>
    <w:rsid w:val="00F964C1"/>
    <w:rsid w:val="00F96D95"/>
    <w:rsid w:val="00FA6F4E"/>
    <w:rsid w:val="00FB096D"/>
    <w:rsid w:val="00FB2754"/>
    <w:rsid w:val="00FB32FF"/>
    <w:rsid w:val="00FC19CE"/>
    <w:rsid w:val="00FC28CC"/>
    <w:rsid w:val="00FC5041"/>
    <w:rsid w:val="00FD04EA"/>
    <w:rsid w:val="00FD7663"/>
    <w:rsid w:val="00FD7E8E"/>
    <w:rsid w:val="00FE4AC7"/>
    <w:rsid w:val="00FE60E6"/>
    <w:rsid w:val="00FF6CDA"/>
    <w:rsid w:val="00FF70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uiPriority w:val="99"/>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uiPriority w:val="99"/>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ListParagraph">
    <w:name w:val="List Paragraph"/>
    <w:basedOn w:val="Normal"/>
    <w:uiPriority w:val="34"/>
    <w:qFormat/>
    <w:rsid w:val="009B2535"/>
    <w:pPr>
      <w:ind w:left="720"/>
      <w:contextualSpacing/>
    </w:pPr>
  </w:style>
  <w:style w:type="paragraph" w:styleId="NormalWeb">
    <w:name w:val="Normal (Web)"/>
    <w:basedOn w:val="Normal"/>
    <w:uiPriority w:val="99"/>
    <w:unhideWhenUsed/>
    <w:rsid w:val="009816BA"/>
    <w:pPr>
      <w:spacing w:before="100" w:beforeAutospacing="1" w:after="100" w:afterAutospacing="1"/>
    </w:pPr>
    <w:rPr>
      <w:rFonts w:eastAsiaTheme="minorHAnsi"/>
      <w:sz w:val="24"/>
      <w:szCs w:val="24"/>
    </w:rPr>
  </w:style>
</w:styles>
</file>

<file path=word/webSettings.xml><?xml version="1.0" encoding="utf-8"?>
<w:webSettings xmlns:r="http://schemas.openxmlformats.org/officeDocument/2006/relationships" xmlns:w="http://schemas.openxmlformats.org/wordprocessingml/2006/main">
  <w:divs>
    <w:div w:id="7679393">
      <w:bodyDiv w:val="1"/>
      <w:marLeft w:val="0"/>
      <w:marRight w:val="0"/>
      <w:marTop w:val="0"/>
      <w:marBottom w:val="0"/>
      <w:divBdr>
        <w:top w:val="none" w:sz="0" w:space="0" w:color="auto"/>
        <w:left w:val="none" w:sz="0" w:space="0" w:color="auto"/>
        <w:bottom w:val="none" w:sz="0" w:space="0" w:color="auto"/>
        <w:right w:val="none" w:sz="0" w:space="0" w:color="auto"/>
      </w:divBdr>
    </w:div>
    <w:div w:id="136844636">
      <w:bodyDiv w:val="1"/>
      <w:marLeft w:val="0"/>
      <w:marRight w:val="0"/>
      <w:marTop w:val="0"/>
      <w:marBottom w:val="0"/>
      <w:divBdr>
        <w:top w:val="none" w:sz="0" w:space="0" w:color="auto"/>
        <w:left w:val="none" w:sz="0" w:space="0" w:color="auto"/>
        <w:bottom w:val="none" w:sz="0" w:space="0" w:color="auto"/>
        <w:right w:val="none" w:sz="0" w:space="0" w:color="auto"/>
      </w:divBdr>
    </w:div>
    <w:div w:id="155608142">
      <w:bodyDiv w:val="1"/>
      <w:marLeft w:val="0"/>
      <w:marRight w:val="0"/>
      <w:marTop w:val="0"/>
      <w:marBottom w:val="0"/>
      <w:divBdr>
        <w:top w:val="none" w:sz="0" w:space="0" w:color="auto"/>
        <w:left w:val="none" w:sz="0" w:space="0" w:color="auto"/>
        <w:bottom w:val="none" w:sz="0" w:space="0" w:color="auto"/>
        <w:right w:val="none" w:sz="0" w:space="0" w:color="auto"/>
      </w:divBdr>
    </w:div>
    <w:div w:id="369844702">
      <w:bodyDiv w:val="1"/>
      <w:marLeft w:val="0"/>
      <w:marRight w:val="0"/>
      <w:marTop w:val="0"/>
      <w:marBottom w:val="0"/>
      <w:divBdr>
        <w:top w:val="none" w:sz="0" w:space="0" w:color="auto"/>
        <w:left w:val="none" w:sz="0" w:space="0" w:color="auto"/>
        <w:bottom w:val="none" w:sz="0" w:space="0" w:color="auto"/>
        <w:right w:val="none" w:sz="0" w:space="0" w:color="auto"/>
      </w:divBdr>
    </w:div>
    <w:div w:id="402486896">
      <w:bodyDiv w:val="1"/>
      <w:marLeft w:val="0"/>
      <w:marRight w:val="0"/>
      <w:marTop w:val="0"/>
      <w:marBottom w:val="0"/>
      <w:divBdr>
        <w:top w:val="none" w:sz="0" w:space="0" w:color="auto"/>
        <w:left w:val="none" w:sz="0" w:space="0" w:color="auto"/>
        <w:bottom w:val="none" w:sz="0" w:space="0" w:color="auto"/>
        <w:right w:val="none" w:sz="0" w:space="0" w:color="auto"/>
      </w:divBdr>
    </w:div>
    <w:div w:id="646517037">
      <w:bodyDiv w:val="1"/>
      <w:marLeft w:val="0"/>
      <w:marRight w:val="0"/>
      <w:marTop w:val="0"/>
      <w:marBottom w:val="0"/>
      <w:divBdr>
        <w:top w:val="none" w:sz="0" w:space="0" w:color="auto"/>
        <w:left w:val="none" w:sz="0" w:space="0" w:color="auto"/>
        <w:bottom w:val="none" w:sz="0" w:space="0" w:color="auto"/>
        <w:right w:val="none" w:sz="0" w:space="0" w:color="auto"/>
      </w:divBdr>
    </w:div>
    <w:div w:id="682974176">
      <w:bodyDiv w:val="1"/>
      <w:marLeft w:val="0"/>
      <w:marRight w:val="0"/>
      <w:marTop w:val="0"/>
      <w:marBottom w:val="0"/>
      <w:divBdr>
        <w:top w:val="none" w:sz="0" w:space="0" w:color="auto"/>
        <w:left w:val="none" w:sz="0" w:space="0" w:color="auto"/>
        <w:bottom w:val="none" w:sz="0" w:space="0" w:color="auto"/>
        <w:right w:val="none" w:sz="0" w:space="0" w:color="auto"/>
      </w:divBdr>
    </w:div>
    <w:div w:id="724908199">
      <w:bodyDiv w:val="1"/>
      <w:marLeft w:val="0"/>
      <w:marRight w:val="0"/>
      <w:marTop w:val="0"/>
      <w:marBottom w:val="0"/>
      <w:divBdr>
        <w:top w:val="none" w:sz="0" w:space="0" w:color="auto"/>
        <w:left w:val="none" w:sz="0" w:space="0" w:color="auto"/>
        <w:bottom w:val="none" w:sz="0" w:space="0" w:color="auto"/>
        <w:right w:val="none" w:sz="0" w:space="0" w:color="auto"/>
      </w:divBdr>
    </w:div>
    <w:div w:id="855658100">
      <w:bodyDiv w:val="1"/>
      <w:marLeft w:val="0"/>
      <w:marRight w:val="0"/>
      <w:marTop w:val="0"/>
      <w:marBottom w:val="0"/>
      <w:divBdr>
        <w:top w:val="none" w:sz="0" w:space="0" w:color="auto"/>
        <w:left w:val="none" w:sz="0" w:space="0" w:color="auto"/>
        <w:bottom w:val="none" w:sz="0" w:space="0" w:color="auto"/>
        <w:right w:val="none" w:sz="0" w:space="0" w:color="auto"/>
      </w:divBdr>
    </w:div>
    <w:div w:id="1030689698">
      <w:bodyDiv w:val="1"/>
      <w:marLeft w:val="0"/>
      <w:marRight w:val="0"/>
      <w:marTop w:val="0"/>
      <w:marBottom w:val="0"/>
      <w:divBdr>
        <w:top w:val="none" w:sz="0" w:space="0" w:color="auto"/>
        <w:left w:val="none" w:sz="0" w:space="0" w:color="auto"/>
        <w:bottom w:val="none" w:sz="0" w:space="0" w:color="auto"/>
        <w:right w:val="none" w:sz="0" w:space="0" w:color="auto"/>
      </w:divBdr>
    </w:div>
    <w:div w:id="1119645985">
      <w:bodyDiv w:val="1"/>
      <w:marLeft w:val="0"/>
      <w:marRight w:val="0"/>
      <w:marTop w:val="0"/>
      <w:marBottom w:val="0"/>
      <w:divBdr>
        <w:top w:val="none" w:sz="0" w:space="0" w:color="auto"/>
        <w:left w:val="none" w:sz="0" w:space="0" w:color="auto"/>
        <w:bottom w:val="none" w:sz="0" w:space="0" w:color="auto"/>
        <w:right w:val="none" w:sz="0" w:space="0" w:color="auto"/>
      </w:divBdr>
    </w:div>
    <w:div w:id="1184636827">
      <w:bodyDiv w:val="1"/>
      <w:marLeft w:val="0"/>
      <w:marRight w:val="0"/>
      <w:marTop w:val="0"/>
      <w:marBottom w:val="0"/>
      <w:divBdr>
        <w:top w:val="none" w:sz="0" w:space="0" w:color="auto"/>
        <w:left w:val="none" w:sz="0" w:space="0" w:color="auto"/>
        <w:bottom w:val="none" w:sz="0" w:space="0" w:color="auto"/>
        <w:right w:val="none" w:sz="0" w:space="0" w:color="auto"/>
      </w:divBdr>
    </w:div>
    <w:div w:id="1206721144">
      <w:bodyDiv w:val="1"/>
      <w:marLeft w:val="0"/>
      <w:marRight w:val="0"/>
      <w:marTop w:val="0"/>
      <w:marBottom w:val="0"/>
      <w:divBdr>
        <w:top w:val="none" w:sz="0" w:space="0" w:color="auto"/>
        <w:left w:val="none" w:sz="0" w:space="0" w:color="auto"/>
        <w:bottom w:val="none" w:sz="0" w:space="0" w:color="auto"/>
        <w:right w:val="none" w:sz="0" w:space="0" w:color="auto"/>
      </w:divBdr>
    </w:div>
    <w:div w:id="1242256723">
      <w:bodyDiv w:val="1"/>
      <w:marLeft w:val="0"/>
      <w:marRight w:val="0"/>
      <w:marTop w:val="0"/>
      <w:marBottom w:val="0"/>
      <w:divBdr>
        <w:top w:val="none" w:sz="0" w:space="0" w:color="auto"/>
        <w:left w:val="none" w:sz="0" w:space="0" w:color="auto"/>
        <w:bottom w:val="none" w:sz="0" w:space="0" w:color="auto"/>
        <w:right w:val="none" w:sz="0" w:space="0" w:color="auto"/>
      </w:divBdr>
    </w:div>
    <w:div w:id="1277709651">
      <w:bodyDiv w:val="1"/>
      <w:marLeft w:val="0"/>
      <w:marRight w:val="0"/>
      <w:marTop w:val="0"/>
      <w:marBottom w:val="0"/>
      <w:divBdr>
        <w:top w:val="none" w:sz="0" w:space="0" w:color="auto"/>
        <w:left w:val="none" w:sz="0" w:space="0" w:color="auto"/>
        <w:bottom w:val="none" w:sz="0" w:space="0" w:color="auto"/>
        <w:right w:val="none" w:sz="0" w:space="0" w:color="auto"/>
      </w:divBdr>
    </w:div>
    <w:div w:id="1281180750">
      <w:bodyDiv w:val="1"/>
      <w:marLeft w:val="0"/>
      <w:marRight w:val="0"/>
      <w:marTop w:val="0"/>
      <w:marBottom w:val="0"/>
      <w:divBdr>
        <w:top w:val="none" w:sz="0" w:space="0" w:color="auto"/>
        <w:left w:val="none" w:sz="0" w:space="0" w:color="auto"/>
        <w:bottom w:val="none" w:sz="0" w:space="0" w:color="auto"/>
        <w:right w:val="none" w:sz="0" w:space="0" w:color="auto"/>
      </w:divBdr>
    </w:div>
    <w:div w:id="1359507998">
      <w:bodyDiv w:val="1"/>
      <w:marLeft w:val="0"/>
      <w:marRight w:val="0"/>
      <w:marTop w:val="0"/>
      <w:marBottom w:val="0"/>
      <w:divBdr>
        <w:top w:val="none" w:sz="0" w:space="0" w:color="auto"/>
        <w:left w:val="none" w:sz="0" w:space="0" w:color="auto"/>
        <w:bottom w:val="none" w:sz="0" w:space="0" w:color="auto"/>
        <w:right w:val="none" w:sz="0" w:space="0" w:color="auto"/>
      </w:divBdr>
    </w:div>
    <w:div w:id="1480537188">
      <w:bodyDiv w:val="1"/>
      <w:marLeft w:val="0"/>
      <w:marRight w:val="0"/>
      <w:marTop w:val="0"/>
      <w:marBottom w:val="0"/>
      <w:divBdr>
        <w:top w:val="none" w:sz="0" w:space="0" w:color="auto"/>
        <w:left w:val="none" w:sz="0" w:space="0" w:color="auto"/>
        <w:bottom w:val="none" w:sz="0" w:space="0" w:color="auto"/>
        <w:right w:val="none" w:sz="0" w:space="0" w:color="auto"/>
      </w:divBdr>
    </w:div>
    <w:div w:id="1487093716">
      <w:bodyDiv w:val="1"/>
      <w:marLeft w:val="0"/>
      <w:marRight w:val="0"/>
      <w:marTop w:val="0"/>
      <w:marBottom w:val="0"/>
      <w:divBdr>
        <w:top w:val="none" w:sz="0" w:space="0" w:color="auto"/>
        <w:left w:val="none" w:sz="0" w:space="0" w:color="auto"/>
        <w:bottom w:val="none" w:sz="0" w:space="0" w:color="auto"/>
        <w:right w:val="none" w:sz="0" w:space="0" w:color="auto"/>
      </w:divBdr>
    </w:div>
    <w:div w:id="1675917253">
      <w:bodyDiv w:val="1"/>
      <w:marLeft w:val="0"/>
      <w:marRight w:val="0"/>
      <w:marTop w:val="0"/>
      <w:marBottom w:val="0"/>
      <w:divBdr>
        <w:top w:val="none" w:sz="0" w:space="0" w:color="auto"/>
        <w:left w:val="none" w:sz="0" w:space="0" w:color="auto"/>
        <w:bottom w:val="none" w:sz="0" w:space="0" w:color="auto"/>
        <w:right w:val="none" w:sz="0" w:space="0" w:color="auto"/>
      </w:divBdr>
    </w:div>
    <w:div w:id="1679962237">
      <w:bodyDiv w:val="1"/>
      <w:marLeft w:val="0"/>
      <w:marRight w:val="0"/>
      <w:marTop w:val="0"/>
      <w:marBottom w:val="0"/>
      <w:divBdr>
        <w:top w:val="none" w:sz="0" w:space="0" w:color="auto"/>
        <w:left w:val="none" w:sz="0" w:space="0" w:color="auto"/>
        <w:bottom w:val="none" w:sz="0" w:space="0" w:color="auto"/>
        <w:right w:val="none" w:sz="0" w:space="0" w:color="auto"/>
      </w:divBdr>
    </w:div>
    <w:div w:id="1710492613">
      <w:bodyDiv w:val="1"/>
      <w:marLeft w:val="0"/>
      <w:marRight w:val="0"/>
      <w:marTop w:val="0"/>
      <w:marBottom w:val="0"/>
      <w:divBdr>
        <w:top w:val="none" w:sz="0" w:space="0" w:color="auto"/>
        <w:left w:val="none" w:sz="0" w:space="0" w:color="auto"/>
        <w:bottom w:val="none" w:sz="0" w:space="0" w:color="auto"/>
        <w:right w:val="none" w:sz="0" w:space="0" w:color="auto"/>
      </w:divBdr>
    </w:div>
    <w:div w:id="1859151075">
      <w:bodyDiv w:val="1"/>
      <w:marLeft w:val="0"/>
      <w:marRight w:val="0"/>
      <w:marTop w:val="0"/>
      <w:marBottom w:val="0"/>
      <w:divBdr>
        <w:top w:val="none" w:sz="0" w:space="0" w:color="auto"/>
        <w:left w:val="none" w:sz="0" w:space="0" w:color="auto"/>
        <w:bottom w:val="none" w:sz="0" w:space="0" w:color="auto"/>
        <w:right w:val="none" w:sz="0" w:space="0" w:color="auto"/>
      </w:divBdr>
    </w:div>
    <w:div w:id="1961641260">
      <w:bodyDiv w:val="1"/>
      <w:marLeft w:val="0"/>
      <w:marRight w:val="0"/>
      <w:marTop w:val="0"/>
      <w:marBottom w:val="0"/>
      <w:divBdr>
        <w:top w:val="none" w:sz="0" w:space="0" w:color="auto"/>
        <w:left w:val="none" w:sz="0" w:space="0" w:color="auto"/>
        <w:bottom w:val="none" w:sz="0" w:space="0" w:color="auto"/>
        <w:right w:val="none" w:sz="0" w:space="0" w:color="auto"/>
      </w:divBdr>
    </w:div>
    <w:div w:id="2059740046">
      <w:bodyDiv w:val="1"/>
      <w:marLeft w:val="0"/>
      <w:marRight w:val="0"/>
      <w:marTop w:val="0"/>
      <w:marBottom w:val="0"/>
      <w:divBdr>
        <w:top w:val="none" w:sz="0" w:space="0" w:color="auto"/>
        <w:left w:val="none" w:sz="0" w:space="0" w:color="auto"/>
        <w:bottom w:val="none" w:sz="0" w:space="0" w:color="auto"/>
        <w:right w:val="none" w:sz="0" w:space="0" w:color="auto"/>
      </w:divBdr>
    </w:div>
    <w:div w:id="2074304494">
      <w:bodyDiv w:val="1"/>
      <w:marLeft w:val="0"/>
      <w:marRight w:val="0"/>
      <w:marTop w:val="0"/>
      <w:marBottom w:val="0"/>
      <w:divBdr>
        <w:top w:val="none" w:sz="0" w:space="0" w:color="auto"/>
        <w:left w:val="none" w:sz="0" w:space="0" w:color="auto"/>
        <w:bottom w:val="none" w:sz="0" w:space="0" w:color="auto"/>
        <w:right w:val="none" w:sz="0" w:space="0" w:color="auto"/>
      </w:divBdr>
    </w:div>
    <w:div w:id="2109349532">
      <w:bodyDiv w:val="1"/>
      <w:marLeft w:val="0"/>
      <w:marRight w:val="0"/>
      <w:marTop w:val="0"/>
      <w:marBottom w:val="0"/>
      <w:divBdr>
        <w:top w:val="none" w:sz="0" w:space="0" w:color="auto"/>
        <w:left w:val="none" w:sz="0" w:space="0" w:color="auto"/>
        <w:bottom w:val="none" w:sz="0" w:space="0" w:color="auto"/>
        <w:right w:val="none" w:sz="0" w:space="0" w:color="auto"/>
      </w:divBdr>
    </w:div>
    <w:div w:id="212306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3666</Words>
  <Characters>20727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2012-03-20T13:08:00Z</dcterms:created>
  <dcterms:modified xsi:type="dcterms:W3CDTF">2012-03-21T16:55:00Z</dcterms:modified>
</cp:coreProperties>
</file>